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D0C" w:rsidRPr="00B17D0C" w:rsidRDefault="00B17D0C" w:rsidP="00B17D0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"/>
        </w:rPr>
      </w:pPr>
      <w:r w:rsidRPr="00B17D0C">
        <w:rPr>
          <w:rFonts w:ascii="Times New Roman" w:eastAsia="Times New Roman" w:hAnsi="Times New Roman" w:cs="Times New Roman"/>
          <w:b/>
          <w:bCs/>
          <w:sz w:val="28"/>
          <w:szCs w:val="28"/>
          <w:lang w:val="en"/>
        </w:rPr>
        <w:t>Ethidium bromide</w:t>
      </w:r>
    </w:p>
    <w:p w:rsidR="00B17D0C" w:rsidRPr="00B17D0C" w:rsidRDefault="00B17D0C" w:rsidP="00B17D0C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"/>
        </w:rPr>
      </w:pPr>
      <w:r w:rsidRPr="00B17D0C">
        <w:rPr>
          <w:rFonts w:ascii="Times New Roman" w:eastAsia="Times New Roman" w:hAnsi="Times New Roman" w:cs="Times New Roman"/>
          <w:lang w:val="en"/>
        </w:rPr>
        <w:t>Ethidium bromide (EtBr) is a DNA intercalating agent that is commonly used as a nonradioactive marker for visualizing nucleic acid bands in electrophoresis and other gel-based separations. EtBr is a potent mutagen, toxic after acute exposure, and is an irritant to the skin, eyes, mouth and the upper respiratory tract.</w:t>
      </w:r>
    </w:p>
    <w:p w:rsidR="00B17D0C" w:rsidRPr="00B17D0C" w:rsidRDefault="00B17D0C" w:rsidP="00B17D0C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"/>
        </w:rPr>
      </w:pPr>
      <w:r w:rsidRPr="00B17D0C">
        <w:rPr>
          <w:rFonts w:ascii="Times New Roman" w:eastAsia="Times New Roman" w:hAnsi="Times New Roman" w:cs="Times New Roman"/>
          <w:lang w:val="en"/>
        </w:rPr>
        <w:t>Handle pure EtBr in a chemical fume hood because the powder can easily contaminate the entire laboratory.</w:t>
      </w:r>
    </w:p>
    <w:p w:rsidR="00B17D0C" w:rsidRPr="00B17D0C" w:rsidRDefault="00B17D0C" w:rsidP="00B17D0C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"/>
        </w:rPr>
      </w:pPr>
      <w:r w:rsidRPr="00B17D0C">
        <w:rPr>
          <w:rFonts w:ascii="Times New Roman" w:eastAsia="Times New Roman" w:hAnsi="Times New Roman" w:cs="Times New Roman"/>
          <w:lang w:val="en"/>
        </w:rPr>
        <w:t>Designate an area where EtBr work is going to be performed, and use EtBr solutions only in that area.</w:t>
      </w:r>
    </w:p>
    <w:p w:rsidR="00B17D0C" w:rsidRPr="00B17D0C" w:rsidRDefault="00B17D0C" w:rsidP="00B17D0C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"/>
        </w:rPr>
      </w:pPr>
      <w:r w:rsidRPr="00B17D0C">
        <w:rPr>
          <w:rFonts w:ascii="Times New Roman" w:eastAsia="Times New Roman" w:hAnsi="Times New Roman" w:cs="Times New Roman"/>
          <w:lang w:val="en"/>
        </w:rPr>
        <w:t>Cover surfaces within the designated area with a plastic-lined absorbent pad. Replace the pad on a scheduled basis or when it becomes contaminated.</w:t>
      </w:r>
    </w:p>
    <w:p w:rsidR="00B17D0C" w:rsidRPr="00B17D0C" w:rsidRDefault="00B17D0C" w:rsidP="00B17D0C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"/>
        </w:rPr>
      </w:pPr>
      <w:r w:rsidRPr="00B17D0C">
        <w:rPr>
          <w:rFonts w:ascii="Times New Roman" w:eastAsia="Times New Roman" w:hAnsi="Times New Roman" w:cs="Times New Roman"/>
          <w:lang w:val="en"/>
        </w:rPr>
        <w:t xml:space="preserve">Use PPE, including laboratory coat, eye protection and gloves when handling EtBr solutions and gels. </w:t>
      </w:r>
      <w:r w:rsidRPr="00B17D0C">
        <w:rPr>
          <w:rFonts w:ascii="Times New Roman" w:eastAsia="Times New Roman" w:hAnsi="Times New Roman" w:cs="Times New Roman"/>
          <w:lang w:val="en"/>
        </w:rPr>
        <w:br/>
      </w:r>
      <w:r w:rsidRPr="00B17D0C">
        <w:rPr>
          <w:rFonts w:ascii="Times New Roman" w:eastAsia="Times New Roman" w:hAnsi="Times New Roman" w:cs="Times New Roman"/>
          <w:b/>
          <w:i/>
          <w:iCs/>
          <w:lang w:val="en"/>
        </w:rPr>
        <w:t>Note:</w:t>
      </w:r>
      <w:r w:rsidRPr="00B17D0C">
        <w:rPr>
          <w:rFonts w:ascii="Times New Roman" w:eastAsia="Times New Roman" w:hAnsi="Times New Roman" w:cs="Times New Roman"/>
          <w:b/>
          <w:lang w:val="en"/>
        </w:rPr>
        <w:t xml:space="preserve"> Latex gloves provide little protection against EtBr. Nitrile gloves provide an effective short-term barrier. Double-gloving provides increased protection.</w:t>
      </w:r>
    </w:p>
    <w:p w:rsidR="00B17D0C" w:rsidRPr="00B17D0C" w:rsidRDefault="00B17D0C" w:rsidP="00B17D0C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"/>
        </w:rPr>
      </w:pPr>
      <w:r w:rsidRPr="00B17D0C">
        <w:rPr>
          <w:rFonts w:ascii="Times New Roman" w:eastAsia="Times New Roman" w:hAnsi="Times New Roman" w:cs="Times New Roman"/>
          <w:lang w:val="en"/>
        </w:rPr>
        <w:t>Wash hands thoroughly after removing gloves.</w:t>
      </w:r>
    </w:p>
    <w:p w:rsidR="00B17D0C" w:rsidRPr="00B17D0C" w:rsidRDefault="00B17D0C" w:rsidP="00B17D0C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"/>
        </w:rPr>
      </w:pPr>
      <w:r w:rsidRPr="00B17D0C">
        <w:rPr>
          <w:rFonts w:ascii="Times New Roman" w:eastAsia="Times New Roman" w:hAnsi="Times New Roman" w:cs="Times New Roman"/>
          <w:lang w:val="en"/>
        </w:rPr>
        <w:t>Application of sodium hypochlorite solutions to spent solutions of EtBr will deactivate the ethidium bromide, but the reaction products are mutage</w:t>
      </w:r>
      <w:r w:rsidR="00FE2AA9">
        <w:rPr>
          <w:rFonts w:ascii="Times New Roman" w:eastAsia="Times New Roman" w:hAnsi="Times New Roman" w:cs="Times New Roman"/>
          <w:lang w:val="en"/>
        </w:rPr>
        <w:t>nic, according to the Ames test</w:t>
      </w:r>
      <w:r w:rsidRPr="00B17D0C">
        <w:rPr>
          <w:rFonts w:ascii="Times New Roman" w:eastAsia="Times New Roman" w:hAnsi="Times New Roman" w:cs="Times New Roman"/>
          <w:lang w:val="en"/>
        </w:rPr>
        <w:t>. Use an alternative deactivation method, use or a permitted hazardous waste treatment facility to dispose of these spent solutions.</w:t>
      </w:r>
    </w:p>
    <w:p w:rsidR="00B17D0C" w:rsidRPr="00B17D0C" w:rsidRDefault="00B17D0C" w:rsidP="00B17D0C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"/>
        </w:rPr>
      </w:pPr>
      <w:r w:rsidRPr="00B17D0C">
        <w:rPr>
          <w:rFonts w:ascii="Times New Roman" w:eastAsia="Times New Roman" w:hAnsi="Times New Roman" w:cs="Times New Roman"/>
          <w:lang w:val="en"/>
        </w:rPr>
        <w:t>Use of sodium hypochlorite solutions in work areas of EtBr use is also not recommended.</w:t>
      </w:r>
    </w:p>
    <w:p w:rsidR="00B17D0C" w:rsidRPr="00B17D0C" w:rsidRDefault="00B17D0C" w:rsidP="00B17D0C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"/>
        </w:rPr>
      </w:pPr>
      <w:r w:rsidRPr="00B17D0C">
        <w:rPr>
          <w:rFonts w:ascii="Times New Roman" w:eastAsia="Times New Roman" w:hAnsi="Times New Roman" w:cs="Times New Roman"/>
          <w:b/>
          <w:lang w:val="en"/>
        </w:rPr>
        <w:t>EtBr waste management</w:t>
      </w:r>
      <w:r w:rsidRPr="00B17D0C">
        <w:rPr>
          <w:rFonts w:ascii="Times New Roman" w:eastAsia="Times New Roman" w:hAnsi="Times New Roman" w:cs="Times New Roman"/>
          <w:lang w:val="en"/>
        </w:rPr>
        <w:t xml:space="preserve"> </w:t>
      </w:r>
      <w:r w:rsidRPr="00B17D0C">
        <w:rPr>
          <w:rFonts w:ascii="Times New Roman" w:eastAsia="Times New Roman" w:hAnsi="Times New Roman" w:cs="Times New Roman"/>
          <w:lang w:val="en"/>
        </w:rPr>
        <w:br/>
        <w:t>— Collect and manage even small volumes or concentrations of EtBr waste as hazardous waste.</w:t>
      </w:r>
      <w:r w:rsidRPr="00B17D0C">
        <w:rPr>
          <w:rFonts w:ascii="Times New Roman" w:eastAsia="Times New Roman" w:hAnsi="Times New Roman" w:cs="Times New Roman"/>
          <w:lang w:val="en"/>
        </w:rPr>
        <w:br/>
        <w:t>— Bag materials coming in</w:t>
      </w:r>
      <w:bookmarkStart w:id="0" w:name="_GoBack"/>
      <w:bookmarkEnd w:id="0"/>
      <w:r w:rsidRPr="00B17D0C">
        <w:rPr>
          <w:rFonts w:ascii="Times New Roman" w:eastAsia="Times New Roman" w:hAnsi="Times New Roman" w:cs="Times New Roman"/>
          <w:lang w:val="en"/>
        </w:rPr>
        <w:t>to contact with EtBr, and dispose of as hazardous chemical waste.</w:t>
      </w:r>
      <w:r w:rsidRPr="00B17D0C">
        <w:rPr>
          <w:rFonts w:ascii="Times New Roman" w:eastAsia="Times New Roman" w:hAnsi="Times New Roman" w:cs="Times New Roman"/>
          <w:lang w:val="en"/>
        </w:rPr>
        <w:br/>
        <w:t>— Minimize EtBr solution volumes by adding activated charcoal. The charcoal can be collected by filtration and placed into leak-resistant containers for hazardous waste disposal.</w:t>
      </w:r>
      <w:r w:rsidRPr="00B17D0C">
        <w:rPr>
          <w:rFonts w:ascii="Times New Roman" w:eastAsia="Times New Roman" w:hAnsi="Times New Roman" w:cs="Times New Roman"/>
          <w:lang w:val="en"/>
        </w:rPr>
        <w:br/>
        <w:t xml:space="preserve">— Place agarose gels containing EtBr into a leak-resistant plastic container and dispose as hazardous waste. </w:t>
      </w:r>
    </w:p>
    <w:p w:rsidR="00786E77" w:rsidRDefault="00FE2AA9" w:rsidP="00642397">
      <w:hyperlink r:id="rId8" w:history="1">
        <w:r w:rsidRPr="00C41FAD">
          <w:rPr>
            <w:rStyle w:val="Hyperlink"/>
          </w:rPr>
          <w:t>https://www.cdc.gov/mmwr/preview/mmwrhtml/su6101a1.htm</w:t>
        </w:r>
      </w:hyperlink>
    </w:p>
    <w:p w:rsidR="00FE2AA9" w:rsidRPr="00642397" w:rsidRDefault="00FE2AA9" w:rsidP="00642397"/>
    <w:sectPr w:rsidR="00FE2AA9" w:rsidRPr="00642397" w:rsidSect="00125235">
      <w:headerReference w:type="even" r:id="rId9"/>
      <w:head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E4E" w:rsidRDefault="00514E4E" w:rsidP="00AB0A51">
      <w:r>
        <w:separator/>
      </w:r>
    </w:p>
  </w:endnote>
  <w:endnote w:type="continuationSeparator" w:id="0">
    <w:p w:rsidR="00514E4E" w:rsidRDefault="00514E4E" w:rsidP="00AB0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235" w:rsidRDefault="00125235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6D2ACC1" wp14:editId="1B3A4E18">
          <wp:simplePos x="0" y="0"/>
          <wp:positionH relativeFrom="column">
            <wp:posOffset>-914400</wp:posOffset>
          </wp:positionH>
          <wp:positionV relativeFrom="paragraph">
            <wp:posOffset>-285115</wp:posOffset>
          </wp:positionV>
          <wp:extent cx="7772400" cy="920115"/>
          <wp:effectExtent l="0" t="0" r="0" b="0"/>
          <wp:wrapTopAndBottom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6779_ELH_RMS_footer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675"/>
                  <a:stretch/>
                </pic:blipFill>
                <pic:spPr bwMode="auto">
                  <a:xfrm>
                    <a:off x="0" y="0"/>
                    <a:ext cx="7772400" cy="920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E4E" w:rsidRDefault="00514E4E" w:rsidP="00AB0A51">
      <w:r>
        <w:separator/>
      </w:r>
    </w:p>
  </w:footnote>
  <w:footnote w:type="continuationSeparator" w:id="0">
    <w:p w:rsidR="00514E4E" w:rsidRDefault="00514E4E" w:rsidP="00AB0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A51" w:rsidRDefault="00962E07">
    <w:pPr>
      <w:pStyle w:val="Header"/>
    </w:pPr>
    <w:sdt>
      <w:sdtPr>
        <w:id w:val="171999623"/>
        <w:placeholder>
          <w:docPart w:val="A3FBD116B704D048A1455ADE925785AE"/>
        </w:placeholder>
        <w:temporary/>
        <w:showingPlcHdr/>
      </w:sdtPr>
      <w:sdtEndPr/>
      <w:sdtContent>
        <w:r w:rsidR="00AB0A51">
          <w:t>[Type text]</w:t>
        </w:r>
      </w:sdtContent>
    </w:sdt>
    <w:r w:rsidR="00AB0A51">
      <w:ptab w:relativeTo="margin" w:alignment="center" w:leader="none"/>
    </w:r>
    <w:sdt>
      <w:sdtPr>
        <w:id w:val="171999624"/>
        <w:placeholder>
          <w:docPart w:val="BCD1886E8B38344EA6F7EA13AE6DE6E6"/>
        </w:placeholder>
        <w:temporary/>
        <w:showingPlcHdr/>
      </w:sdtPr>
      <w:sdtEndPr/>
      <w:sdtContent>
        <w:r w:rsidR="00AB0A51">
          <w:t>[Type text]</w:t>
        </w:r>
      </w:sdtContent>
    </w:sdt>
    <w:r w:rsidR="00AB0A51">
      <w:ptab w:relativeTo="margin" w:alignment="right" w:leader="none"/>
    </w:r>
    <w:sdt>
      <w:sdtPr>
        <w:id w:val="171999625"/>
        <w:placeholder>
          <w:docPart w:val="060DC8E86592A645B66A39125588ABB0"/>
        </w:placeholder>
        <w:temporary/>
        <w:showingPlcHdr/>
      </w:sdtPr>
      <w:sdtEndPr/>
      <w:sdtContent>
        <w:r w:rsidR="00AB0A51">
          <w:t>[Type text]</w:t>
        </w:r>
      </w:sdtContent>
    </w:sdt>
  </w:p>
  <w:p w:rsidR="00AB0A51" w:rsidRDefault="00AB0A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A51" w:rsidRDefault="00125235" w:rsidP="00125235">
    <w:pPr>
      <w:pStyle w:val="Header"/>
      <w:tabs>
        <w:tab w:val="clear" w:pos="8640"/>
        <w:tab w:val="right" w:pos="9360"/>
      </w:tabs>
    </w:pPr>
    <w:r>
      <w:t>[Letter Reference]</w:t>
    </w:r>
    <w:r>
      <w:tab/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6F3987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235" w:rsidRDefault="0012523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AC426D4" wp14:editId="02127BFF">
          <wp:simplePos x="0" y="0"/>
          <wp:positionH relativeFrom="column">
            <wp:posOffset>-914400</wp:posOffset>
          </wp:positionH>
          <wp:positionV relativeFrom="paragraph">
            <wp:posOffset>-450850</wp:posOffset>
          </wp:positionV>
          <wp:extent cx="7818120" cy="1828800"/>
          <wp:effectExtent l="0" t="0" r="0" b="0"/>
          <wp:wrapTopAndBottom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6779_ELH_RMS_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2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05492C"/>
    <w:multiLevelType w:val="multilevel"/>
    <w:tmpl w:val="CAAE1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A51"/>
    <w:rsid w:val="00125235"/>
    <w:rsid w:val="003C2430"/>
    <w:rsid w:val="004A2206"/>
    <w:rsid w:val="00514E4E"/>
    <w:rsid w:val="00642397"/>
    <w:rsid w:val="006F3987"/>
    <w:rsid w:val="00786E77"/>
    <w:rsid w:val="00813B88"/>
    <w:rsid w:val="00962E07"/>
    <w:rsid w:val="009A00AC"/>
    <w:rsid w:val="009F1AB6"/>
    <w:rsid w:val="00AB0A51"/>
    <w:rsid w:val="00B17D0C"/>
    <w:rsid w:val="00BD5F65"/>
    <w:rsid w:val="00D02965"/>
    <w:rsid w:val="00E40942"/>
    <w:rsid w:val="00FE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6C9D08D"/>
  <w14:defaultImageDpi w14:val="300"/>
  <w15:docId w15:val="{FE2356CC-3007-4E05-B8D5-30400CE85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A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A51"/>
  </w:style>
  <w:style w:type="paragraph" w:styleId="Footer">
    <w:name w:val="footer"/>
    <w:basedOn w:val="Normal"/>
    <w:link w:val="FooterChar"/>
    <w:uiPriority w:val="99"/>
    <w:unhideWhenUsed/>
    <w:rsid w:val="00AB0A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A51"/>
  </w:style>
  <w:style w:type="paragraph" w:styleId="BalloonText">
    <w:name w:val="Balloon Text"/>
    <w:basedOn w:val="Normal"/>
    <w:link w:val="BalloonTextChar"/>
    <w:uiPriority w:val="99"/>
    <w:semiHidden/>
    <w:unhideWhenUsed/>
    <w:rsid w:val="00AB0A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51"/>
    <w:rPr>
      <w:rFonts w:ascii="Lucida Grande" w:hAnsi="Lucida Grande"/>
      <w:sz w:val="18"/>
      <w:szCs w:val="18"/>
    </w:rPr>
  </w:style>
  <w:style w:type="paragraph" w:customStyle="1" w:styleId="h5">
    <w:name w:val="h5"/>
    <w:basedOn w:val="Normal"/>
    <w:rsid w:val="00B17D0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B17D0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E2A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0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10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71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20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30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c.gov/mmwr/preview/mmwrhtml/su6101a1.ht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3FBD116B704D048A1455ADE92578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077D2-4CB9-DF49-BE36-728C5305CE9F}"/>
      </w:docPartPr>
      <w:docPartBody>
        <w:p w:rsidR="002C226E" w:rsidRDefault="00586BF0" w:rsidP="00586BF0">
          <w:pPr>
            <w:pStyle w:val="A3FBD116B704D048A1455ADE925785AE"/>
          </w:pPr>
          <w:r>
            <w:t>[Type text]</w:t>
          </w:r>
        </w:p>
      </w:docPartBody>
    </w:docPart>
    <w:docPart>
      <w:docPartPr>
        <w:name w:val="BCD1886E8B38344EA6F7EA13AE6DE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2F316-D580-FB4A-9B14-1C6371F26094}"/>
      </w:docPartPr>
      <w:docPartBody>
        <w:p w:rsidR="002C226E" w:rsidRDefault="00586BF0" w:rsidP="00586BF0">
          <w:pPr>
            <w:pStyle w:val="BCD1886E8B38344EA6F7EA13AE6DE6E6"/>
          </w:pPr>
          <w:r>
            <w:t>[Type text]</w:t>
          </w:r>
        </w:p>
      </w:docPartBody>
    </w:docPart>
    <w:docPart>
      <w:docPartPr>
        <w:name w:val="060DC8E86592A645B66A39125588A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36723-259E-9C49-82BB-A043581FD586}"/>
      </w:docPartPr>
      <w:docPartBody>
        <w:p w:rsidR="002C226E" w:rsidRDefault="00586BF0" w:rsidP="00586BF0">
          <w:pPr>
            <w:pStyle w:val="060DC8E86592A645B66A39125588ABB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BF0"/>
    <w:rsid w:val="002C226E"/>
    <w:rsid w:val="00586BF0"/>
    <w:rsid w:val="0070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FBD116B704D048A1455ADE925785AE">
    <w:name w:val="A3FBD116B704D048A1455ADE925785AE"/>
    <w:rsid w:val="00586BF0"/>
  </w:style>
  <w:style w:type="paragraph" w:customStyle="1" w:styleId="BCD1886E8B38344EA6F7EA13AE6DE6E6">
    <w:name w:val="BCD1886E8B38344EA6F7EA13AE6DE6E6"/>
    <w:rsid w:val="00586BF0"/>
  </w:style>
  <w:style w:type="paragraph" w:customStyle="1" w:styleId="060DC8E86592A645B66A39125588ABB0">
    <w:name w:val="060DC8E86592A645B66A39125588ABB0"/>
    <w:rsid w:val="00586BF0"/>
  </w:style>
  <w:style w:type="paragraph" w:customStyle="1" w:styleId="5ED285118A138C4FB609D9ABFEBE4C32">
    <w:name w:val="5ED285118A138C4FB609D9ABFEBE4C32"/>
    <w:rsid w:val="00586BF0"/>
  </w:style>
  <w:style w:type="paragraph" w:customStyle="1" w:styleId="FA791C880B899E49BA3237B1294B51BB">
    <w:name w:val="FA791C880B899E49BA3237B1294B51BB"/>
    <w:rsid w:val="00586BF0"/>
  </w:style>
  <w:style w:type="paragraph" w:customStyle="1" w:styleId="5322F2FE0847154087013DD641F9B0A3">
    <w:name w:val="5322F2FE0847154087013DD641F9B0A3"/>
    <w:rsid w:val="00586B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B35053-A593-4185-A555-C50D928A2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UNT-Printing and Distribution Solutions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Caliope Poe</dc:creator>
  <cp:lastModifiedBy>Shoff, Megan</cp:lastModifiedBy>
  <cp:revision>5</cp:revision>
  <cp:lastPrinted>2013-02-06T17:46:00Z</cp:lastPrinted>
  <dcterms:created xsi:type="dcterms:W3CDTF">2018-07-26T12:38:00Z</dcterms:created>
  <dcterms:modified xsi:type="dcterms:W3CDTF">2018-07-26T12:41:00Z</dcterms:modified>
</cp:coreProperties>
</file>