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8A10B6" w14:textId="77777777" w:rsidR="0018035D" w:rsidRPr="00F619C5" w:rsidRDefault="00021FD2">
      <w:pPr>
        <w:pStyle w:val="Heading1"/>
        <w:spacing w:line="272" w:lineRule="exact"/>
        <w:rPr>
          <w:rFonts w:ascii="Times New Roman" w:hAnsi="Times New Roman" w:cs="Times New Roman"/>
        </w:rPr>
      </w:pPr>
      <w:r w:rsidRPr="00F619C5">
        <w:rPr>
          <w:rFonts w:ascii="Times New Roman" w:hAnsi="Times New Roman" w:cs="Times New Roman"/>
        </w:rPr>
        <w:t>UNT FACT SHEET</w:t>
      </w:r>
    </w:p>
    <w:p w14:paraId="5EAFD8BA" w14:textId="77777777" w:rsidR="0018035D" w:rsidRPr="00F619C5" w:rsidRDefault="00021FD2">
      <w:pPr>
        <w:ind w:left="380"/>
        <w:rPr>
          <w:rFonts w:ascii="Times New Roman" w:hAnsi="Times New Roman" w:cs="Times New Roman"/>
          <w:b/>
          <w:sz w:val="24"/>
        </w:rPr>
      </w:pPr>
      <w:r w:rsidRPr="00F619C5">
        <w:rPr>
          <w:rFonts w:ascii="Times New Roman" w:hAnsi="Times New Roman" w:cs="Times New Roman"/>
          <w:b/>
          <w:sz w:val="24"/>
        </w:rPr>
        <w:t>Handling and Disposal of Sharps</w:t>
      </w:r>
    </w:p>
    <w:p w14:paraId="1B1A43C5" w14:textId="77777777" w:rsidR="0018035D" w:rsidRPr="00F619C5" w:rsidRDefault="00021FD2">
      <w:pPr>
        <w:pStyle w:val="Heading2"/>
        <w:spacing w:before="229"/>
        <w:rPr>
          <w:rFonts w:ascii="Times New Roman" w:hAnsi="Times New Roman" w:cs="Times New Roman"/>
          <w:u w:val="none"/>
        </w:rPr>
      </w:pPr>
      <w:r w:rsidRPr="00F619C5">
        <w:rPr>
          <w:rFonts w:ascii="Times New Roman" w:hAnsi="Times New Roman" w:cs="Times New Roman"/>
          <w:u w:val="thick"/>
        </w:rPr>
        <w:t>Introduction</w:t>
      </w:r>
    </w:p>
    <w:p w14:paraId="59A69B21" w14:textId="77777777" w:rsidR="0018035D" w:rsidRPr="00F619C5" w:rsidRDefault="0018035D">
      <w:pPr>
        <w:pStyle w:val="BodyText"/>
        <w:spacing w:before="1"/>
        <w:rPr>
          <w:rFonts w:ascii="Times New Roman" w:hAnsi="Times New Roman" w:cs="Times New Roman"/>
          <w:b/>
          <w:sz w:val="12"/>
        </w:rPr>
      </w:pPr>
    </w:p>
    <w:p w14:paraId="679A3487" w14:textId="77777777" w:rsidR="0018035D" w:rsidRPr="00F619C5" w:rsidRDefault="00021FD2">
      <w:pPr>
        <w:pStyle w:val="BodyText"/>
        <w:spacing w:before="93"/>
        <w:ind w:left="380" w:right="143"/>
        <w:jc w:val="both"/>
        <w:rPr>
          <w:rFonts w:ascii="Times New Roman" w:hAnsi="Times New Roman" w:cs="Times New Roman"/>
        </w:rPr>
      </w:pPr>
      <w:r w:rsidRPr="00F619C5">
        <w:rPr>
          <w:rFonts w:ascii="Times New Roman" w:hAnsi="Times New Roman" w:cs="Times New Roman"/>
        </w:rPr>
        <w:t xml:space="preserve">Sharps are objects that can penetrate an individual’s skin, such as hypodermic needles, glass Pasteur pipettes, scalpel blades, pipette tips, broken vials and glassware, slides, and coverslips. If human blood or other potentially infectious materials, as defined in the OSHA </w:t>
      </w:r>
      <w:hyperlink r:id="rId7">
        <w:r w:rsidRPr="00F619C5">
          <w:rPr>
            <w:rFonts w:ascii="Times New Roman" w:hAnsi="Times New Roman" w:cs="Times New Roman"/>
            <w:color w:val="0000FF"/>
            <w:u w:val="single" w:color="0000FF"/>
          </w:rPr>
          <w:t xml:space="preserve">Bloodborne Pathogens standard </w:t>
        </w:r>
      </w:hyperlink>
      <w:r w:rsidRPr="00F619C5">
        <w:rPr>
          <w:rFonts w:ascii="Times New Roman" w:hAnsi="Times New Roman" w:cs="Times New Roman"/>
        </w:rPr>
        <w:t>(29 CFR 1910.1030), is present or may be present on the sharp, it is a contaminated sharp and appropriate personal protective equipment must be worn.</w:t>
      </w:r>
    </w:p>
    <w:p w14:paraId="21DDFC55" w14:textId="77777777" w:rsidR="0018035D" w:rsidRPr="00F619C5" w:rsidRDefault="0018035D">
      <w:pPr>
        <w:pStyle w:val="BodyText"/>
        <w:rPr>
          <w:rFonts w:ascii="Times New Roman" w:hAnsi="Times New Roman" w:cs="Times New Roman"/>
        </w:rPr>
      </w:pPr>
    </w:p>
    <w:p w14:paraId="5C2601D3" w14:textId="2EF8B784" w:rsidR="0018035D" w:rsidRPr="00F619C5" w:rsidRDefault="00021FD2">
      <w:pPr>
        <w:pStyle w:val="BodyText"/>
        <w:ind w:left="380" w:right="132"/>
        <w:jc w:val="both"/>
        <w:rPr>
          <w:rFonts w:ascii="Times New Roman" w:hAnsi="Times New Roman" w:cs="Times New Roman"/>
        </w:rPr>
      </w:pPr>
      <w:r w:rsidRPr="00F619C5">
        <w:rPr>
          <w:rFonts w:ascii="Times New Roman" w:hAnsi="Times New Roman" w:cs="Times New Roman"/>
        </w:rPr>
        <w:t xml:space="preserve">An accident or injury involving a contaminated sharp may result in an individual being infected with human immunodeficiency virus (HIV), hepatitis B virus (HBV), hepatitis C virus (HCV), or other bloodborne pathogens. Careful handling of contaminated sharps can prevent injury and reduce the risk of infection. The UNT </w:t>
      </w:r>
      <w:r w:rsidRPr="00F619C5">
        <w:rPr>
          <w:rFonts w:ascii="Times New Roman" w:hAnsi="Times New Roman" w:cs="Times New Roman"/>
          <w:color w:val="0000FF"/>
          <w:u w:val="single" w:color="0000FF"/>
        </w:rPr>
        <w:t xml:space="preserve">Bloodborne Pathogens Exposure Control Program </w:t>
      </w:r>
      <w:r w:rsidRPr="00F619C5">
        <w:rPr>
          <w:rFonts w:ascii="Times New Roman" w:hAnsi="Times New Roman" w:cs="Times New Roman"/>
        </w:rPr>
        <w:t>specifies measures to reduce these types of injuries and the risk of infection.</w:t>
      </w:r>
    </w:p>
    <w:p w14:paraId="3920D74A" w14:textId="77777777" w:rsidR="0018035D" w:rsidRPr="00F619C5" w:rsidRDefault="0018035D">
      <w:pPr>
        <w:pStyle w:val="BodyText"/>
        <w:spacing w:before="9"/>
        <w:rPr>
          <w:rFonts w:ascii="Times New Roman" w:hAnsi="Times New Roman" w:cs="Times New Roman"/>
          <w:sz w:val="19"/>
        </w:rPr>
      </w:pPr>
    </w:p>
    <w:p w14:paraId="3BF01158" w14:textId="77777777" w:rsidR="0018035D" w:rsidRPr="00F619C5" w:rsidRDefault="00021FD2">
      <w:pPr>
        <w:pStyle w:val="Heading2"/>
        <w:spacing w:before="1"/>
        <w:jc w:val="both"/>
        <w:rPr>
          <w:rFonts w:ascii="Times New Roman" w:hAnsi="Times New Roman" w:cs="Times New Roman"/>
          <w:u w:val="none"/>
        </w:rPr>
      </w:pPr>
      <w:r w:rsidRPr="00F619C5">
        <w:rPr>
          <w:rFonts w:ascii="Times New Roman" w:hAnsi="Times New Roman" w:cs="Times New Roman"/>
          <w:u w:val="thick"/>
        </w:rPr>
        <w:t>Safer Medical Devices</w:t>
      </w:r>
    </w:p>
    <w:p w14:paraId="03D6202F" w14:textId="77777777" w:rsidR="0018035D" w:rsidRPr="00F619C5" w:rsidRDefault="0018035D">
      <w:pPr>
        <w:pStyle w:val="BodyText"/>
        <w:rPr>
          <w:rFonts w:ascii="Times New Roman" w:hAnsi="Times New Roman" w:cs="Times New Roman"/>
          <w:b/>
          <w:sz w:val="12"/>
        </w:rPr>
      </w:pPr>
    </w:p>
    <w:p w14:paraId="489D5BED" w14:textId="77777777" w:rsidR="0018035D" w:rsidRPr="00F619C5" w:rsidRDefault="00021FD2">
      <w:pPr>
        <w:pStyle w:val="BodyText"/>
        <w:spacing w:before="93"/>
        <w:ind w:left="380" w:right="137"/>
        <w:jc w:val="both"/>
        <w:rPr>
          <w:rFonts w:ascii="Times New Roman" w:hAnsi="Times New Roman" w:cs="Times New Roman"/>
        </w:rPr>
      </w:pPr>
      <w:r w:rsidRPr="00F619C5">
        <w:rPr>
          <w:rFonts w:ascii="Times New Roman" w:hAnsi="Times New Roman" w:cs="Times New Roman"/>
        </w:rPr>
        <w:t>Wherever possible, departments are required to use safer medical devices, such as self-sheathing or retractable needles. These devices have built-in protection to guard workers against contact with the contaminated sharp. All individuals who may be potentially exposed to injuries from sharps are encouraged to provide input to their management and Risk Management Services (RMS) regarding the identification, evaluation, and selection of safer medical devices.</w:t>
      </w:r>
    </w:p>
    <w:p w14:paraId="57DC7D6B" w14:textId="77777777" w:rsidR="0018035D" w:rsidRPr="00F619C5" w:rsidRDefault="0018035D">
      <w:pPr>
        <w:pStyle w:val="BodyText"/>
        <w:spacing w:before="7"/>
        <w:rPr>
          <w:rFonts w:ascii="Times New Roman" w:hAnsi="Times New Roman" w:cs="Times New Roman"/>
          <w:sz w:val="19"/>
        </w:rPr>
      </w:pPr>
    </w:p>
    <w:p w14:paraId="40C46868" w14:textId="77777777" w:rsidR="0018035D" w:rsidRPr="00F619C5" w:rsidRDefault="00021FD2">
      <w:pPr>
        <w:pStyle w:val="Heading2"/>
        <w:jc w:val="both"/>
        <w:rPr>
          <w:rFonts w:ascii="Times New Roman" w:hAnsi="Times New Roman" w:cs="Times New Roman"/>
          <w:u w:val="none"/>
        </w:rPr>
      </w:pPr>
      <w:r w:rsidRPr="00F619C5">
        <w:rPr>
          <w:rFonts w:ascii="Times New Roman" w:hAnsi="Times New Roman" w:cs="Times New Roman"/>
          <w:u w:val="thick"/>
        </w:rPr>
        <w:t>Sharps Containers</w:t>
      </w:r>
    </w:p>
    <w:p w14:paraId="49E64542" w14:textId="77777777" w:rsidR="0018035D" w:rsidRPr="00F619C5" w:rsidRDefault="0018035D">
      <w:pPr>
        <w:pStyle w:val="BodyText"/>
        <w:spacing w:before="2"/>
        <w:rPr>
          <w:rFonts w:ascii="Times New Roman" w:hAnsi="Times New Roman" w:cs="Times New Roman"/>
          <w:b/>
          <w:sz w:val="12"/>
        </w:rPr>
      </w:pPr>
    </w:p>
    <w:p w14:paraId="21FBC8E6" w14:textId="15CAA298" w:rsidR="0018035D" w:rsidRPr="00F619C5" w:rsidRDefault="00021FD2">
      <w:pPr>
        <w:pStyle w:val="BodyText"/>
        <w:spacing w:before="92"/>
        <w:ind w:left="380" w:right="138"/>
        <w:jc w:val="both"/>
        <w:rPr>
          <w:rFonts w:ascii="Times New Roman" w:hAnsi="Times New Roman" w:cs="Times New Roman"/>
        </w:rPr>
      </w:pPr>
      <w:r w:rsidRPr="00F619C5">
        <w:rPr>
          <w:rFonts w:ascii="Times New Roman" w:hAnsi="Times New Roman" w:cs="Times New Roman"/>
        </w:rPr>
        <w:t xml:space="preserve">Used sharps must be discarded immediately or as soon as feasible into sharps containers. </w:t>
      </w:r>
      <w:r w:rsidRPr="00F619C5">
        <w:rPr>
          <w:rFonts w:ascii="Times New Roman" w:hAnsi="Times New Roman" w:cs="Times New Roman"/>
          <w:spacing w:val="2"/>
        </w:rPr>
        <w:t xml:space="preserve">These </w:t>
      </w:r>
      <w:r w:rsidR="00917F5F" w:rsidRPr="00F619C5">
        <w:rPr>
          <w:rFonts w:ascii="Times New Roman" w:hAnsi="Times New Roman" w:cs="Times New Roman"/>
        </w:rPr>
        <w:t>containers must</w:t>
      </w:r>
      <w:r w:rsidRPr="00F619C5">
        <w:rPr>
          <w:rFonts w:ascii="Times New Roman" w:hAnsi="Times New Roman" w:cs="Times New Roman"/>
        </w:rPr>
        <w:t xml:space="preserve"> be puncture-resistant and the sides and the bottom must be leakproof. </w:t>
      </w:r>
      <w:r w:rsidR="00917F5F" w:rsidRPr="00F619C5">
        <w:rPr>
          <w:rFonts w:ascii="Times New Roman" w:hAnsi="Times New Roman" w:cs="Times New Roman"/>
        </w:rPr>
        <w:t>Biohazardous sharps containers</w:t>
      </w:r>
      <w:r w:rsidRPr="00F619C5">
        <w:rPr>
          <w:rFonts w:ascii="Times New Roman" w:hAnsi="Times New Roman" w:cs="Times New Roman"/>
        </w:rPr>
        <w:t xml:space="preserve"> must be appropriately labeled </w:t>
      </w:r>
      <w:r w:rsidR="00917F5F" w:rsidRPr="00F619C5">
        <w:rPr>
          <w:rFonts w:ascii="Times New Roman" w:hAnsi="Times New Roman" w:cs="Times New Roman"/>
        </w:rPr>
        <w:t xml:space="preserve">and </w:t>
      </w:r>
      <w:r w:rsidRPr="00F619C5">
        <w:rPr>
          <w:rFonts w:ascii="Times New Roman" w:hAnsi="Times New Roman" w:cs="Times New Roman"/>
        </w:rPr>
        <w:t xml:space="preserve">color-coded red to warn everyone that the contents are </w:t>
      </w:r>
      <w:r w:rsidR="00917F5F" w:rsidRPr="00F619C5">
        <w:rPr>
          <w:rFonts w:ascii="Times New Roman" w:hAnsi="Times New Roman" w:cs="Times New Roman"/>
        </w:rPr>
        <w:t>bio</w:t>
      </w:r>
      <w:r w:rsidRPr="00F619C5">
        <w:rPr>
          <w:rFonts w:ascii="Times New Roman" w:hAnsi="Times New Roman" w:cs="Times New Roman"/>
        </w:rPr>
        <w:t>hazardous. They must be closable (i.e., have a lid, flap, door, or other means of closing the container), and they must be kept upright to keep the sharps and any liquids from spilling out of the</w:t>
      </w:r>
      <w:r w:rsidRPr="00F619C5">
        <w:rPr>
          <w:rFonts w:ascii="Times New Roman" w:hAnsi="Times New Roman" w:cs="Times New Roman"/>
          <w:spacing w:val="-15"/>
        </w:rPr>
        <w:t xml:space="preserve"> </w:t>
      </w:r>
      <w:r w:rsidRPr="00F619C5">
        <w:rPr>
          <w:rFonts w:ascii="Times New Roman" w:hAnsi="Times New Roman" w:cs="Times New Roman"/>
        </w:rPr>
        <w:t>container.</w:t>
      </w:r>
    </w:p>
    <w:p w14:paraId="5356E3D0" w14:textId="77777777" w:rsidR="0018035D" w:rsidRPr="00F619C5" w:rsidRDefault="0018035D">
      <w:pPr>
        <w:pStyle w:val="BodyText"/>
        <w:rPr>
          <w:rFonts w:ascii="Times New Roman" w:hAnsi="Times New Roman" w:cs="Times New Roman"/>
        </w:rPr>
      </w:pPr>
    </w:p>
    <w:p w14:paraId="476E8E9C" w14:textId="77777777" w:rsidR="0018035D" w:rsidRPr="00F619C5" w:rsidRDefault="00021FD2">
      <w:pPr>
        <w:pStyle w:val="BodyText"/>
        <w:ind w:left="380" w:right="150"/>
        <w:jc w:val="both"/>
        <w:rPr>
          <w:rFonts w:ascii="Times New Roman" w:hAnsi="Times New Roman" w:cs="Times New Roman"/>
        </w:rPr>
      </w:pPr>
      <w:r w:rsidRPr="00F619C5">
        <w:rPr>
          <w:rFonts w:ascii="Times New Roman" w:hAnsi="Times New Roman" w:cs="Times New Roman"/>
        </w:rPr>
        <w:t xml:space="preserve">During use, containers for used sharps must be easily accessible to personnel and located as close as is feasible to the immediate area where sharps are used or can be reasonably anticipated to be found. Sharps containers must also be maintained upright throughout use, replaced routinely, and </w:t>
      </w:r>
      <w:r w:rsidRPr="00F619C5">
        <w:rPr>
          <w:rFonts w:ascii="Times New Roman" w:hAnsi="Times New Roman" w:cs="Times New Roman"/>
          <w:b/>
          <w:u w:val="single"/>
        </w:rPr>
        <w:t>not be allowed to overfill</w:t>
      </w:r>
      <w:r w:rsidRPr="00F619C5">
        <w:rPr>
          <w:rFonts w:ascii="Times New Roman" w:hAnsi="Times New Roman" w:cs="Times New Roman"/>
        </w:rPr>
        <w:t>. When moving sharps containers from the area of use, the containers must be:</w:t>
      </w:r>
    </w:p>
    <w:p w14:paraId="7761CDA9" w14:textId="77777777" w:rsidR="0018035D" w:rsidRPr="00F619C5" w:rsidRDefault="0018035D">
      <w:pPr>
        <w:pStyle w:val="BodyText"/>
        <w:spacing w:before="8"/>
        <w:rPr>
          <w:rFonts w:ascii="Times New Roman" w:hAnsi="Times New Roman" w:cs="Times New Roman"/>
          <w:sz w:val="21"/>
        </w:rPr>
      </w:pPr>
    </w:p>
    <w:p w14:paraId="7E1BC82C" w14:textId="77777777" w:rsidR="0018035D" w:rsidRPr="00F619C5" w:rsidRDefault="00021FD2">
      <w:pPr>
        <w:pStyle w:val="ListParagraph"/>
        <w:numPr>
          <w:ilvl w:val="0"/>
          <w:numId w:val="2"/>
        </w:numPr>
        <w:tabs>
          <w:tab w:val="left" w:pos="1100"/>
          <w:tab w:val="left" w:pos="1101"/>
        </w:tabs>
        <w:spacing w:before="1" w:line="228" w:lineRule="exact"/>
        <w:ind w:right="147"/>
        <w:rPr>
          <w:rFonts w:ascii="Times New Roman" w:hAnsi="Times New Roman" w:cs="Times New Roman"/>
          <w:sz w:val="20"/>
        </w:rPr>
      </w:pPr>
      <w:r w:rsidRPr="00F619C5">
        <w:rPr>
          <w:rFonts w:ascii="Times New Roman" w:hAnsi="Times New Roman" w:cs="Times New Roman"/>
          <w:sz w:val="20"/>
        </w:rPr>
        <w:t>Closed immediately prior to removal to prevent spillage or protrusion of contents during handling, storage, transport, or shipping;</w:t>
      </w:r>
      <w:r w:rsidRPr="00F619C5">
        <w:rPr>
          <w:rFonts w:ascii="Times New Roman" w:hAnsi="Times New Roman" w:cs="Times New Roman"/>
          <w:spacing w:val="-11"/>
          <w:sz w:val="20"/>
        </w:rPr>
        <w:t xml:space="preserve"> </w:t>
      </w:r>
      <w:r w:rsidRPr="00F619C5">
        <w:rPr>
          <w:rFonts w:ascii="Times New Roman" w:hAnsi="Times New Roman" w:cs="Times New Roman"/>
          <w:sz w:val="20"/>
        </w:rPr>
        <w:t>and</w:t>
      </w:r>
    </w:p>
    <w:p w14:paraId="0ADB42E3" w14:textId="77777777" w:rsidR="0018035D" w:rsidRPr="00F619C5" w:rsidRDefault="00021FD2">
      <w:pPr>
        <w:pStyle w:val="ListParagraph"/>
        <w:numPr>
          <w:ilvl w:val="0"/>
          <w:numId w:val="2"/>
        </w:numPr>
        <w:tabs>
          <w:tab w:val="left" w:pos="1100"/>
          <w:tab w:val="left" w:pos="1101"/>
        </w:tabs>
        <w:spacing w:line="243" w:lineRule="exact"/>
        <w:rPr>
          <w:rFonts w:ascii="Times New Roman" w:hAnsi="Times New Roman" w:cs="Times New Roman"/>
          <w:sz w:val="20"/>
        </w:rPr>
      </w:pPr>
      <w:r w:rsidRPr="00F619C5">
        <w:rPr>
          <w:rFonts w:ascii="Times New Roman" w:hAnsi="Times New Roman" w:cs="Times New Roman"/>
          <w:sz w:val="20"/>
        </w:rPr>
        <w:t>Placed in a secondary container if leakage is possible. The second container must</w:t>
      </w:r>
      <w:r w:rsidRPr="00F619C5">
        <w:rPr>
          <w:rFonts w:ascii="Times New Roman" w:hAnsi="Times New Roman" w:cs="Times New Roman"/>
          <w:spacing w:val="-33"/>
          <w:sz w:val="20"/>
        </w:rPr>
        <w:t xml:space="preserve"> </w:t>
      </w:r>
      <w:r w:rsidRPr="00F619C5">
        <w:rPr>
          <w:rFonts w:ascii="Times New Roman" w:hAnsi="Times New Roman" w:cs="Times New Roman"/>
          <w:sz w:val="20"/>
        </w:rPr>
        <w:t>be:</w:t>
      </w:r>
    </w:p>
    <w:p w14:paraId="18A1BE88" w14:textId="77777777" w:rsidR="0018035D" w:rsidRPr="00F619C5" w:rsidRDefault="00021FD2">
      <w:pPr>
        <w:pStyle w:val="ListParagraph"/>
        <w:numPr>
          <w:ilvl w:val="1"/>
          <w:numId w:val="2"/>
        </w:numPr>
        <w:tabs>
          <w:tab w:val="left" w:pos="1551"/>
          <w:tab w:val="left" w:pos="1552"/>
        </w:tabs>
        <w:spacing w:line="240" w:lineRule="exact"/>
        <w:ind w:hanging="451"/>
        <w:rPr>
          <w:rFonts w:ascii="Times New Roman" w:hAnsi="Times New Roman" w:cs="Times New Roman"/>
          <w:sz w:val="20"/>
        </w:rPr>
      </w:pPr>
      <w:r w:rsidRPr="00F619C5">
        <w:rPr>
          <w:rFonts w:ascii="Times New Roman" w:hAnsi="Times New Roman" w:cs="Times New Roman"/>
          <w:sz w:val="20"/>
        </w:rPr>
        <w:t>closable;</w:t>
      </w:r>
    </w:p>
    <w:p w14:paraId="10172680" w14:textId="77777777" w:rsidR="0018035D" w:rsidRPr="00F619C5" w:rsidRDefault="00021FD2">
      <w:pPr>
        <w:pStyle w:val="ListParagraph"/>
        <w:numPr>
          <w:ilvl w:val="1"/>
          <w:numId w:val="2"/>
        </w:numPr>
        <w:tabs>
          <w:tab w:val="left" w:pos="1551"/>
          <w:tab w:val="left" w:pos="1552"/>
        </w:tabs>
        <w:spacing w:before="4" w:line="218" w:lineRule="auto"/>
        <w:ind w:right="148" w:hanging="451"/>
        <w:rPr>
          <w:rFonts w:ascii="Times New Roman" w:hAnsi="Times New Roman" w:cs="Times New Roman"/>
          <w:sz w:val="20"/>
        </w:rPr>
      </w:pPr>
      <w:r w:rsidRPr="00F619C5">
        <w:rPr>
          <w:rFonts w:ascii="Times New Roman" w:hAnsi="Times New Roman" w:cs="Times New Roman"/>
          <w:sz w:val="20"/>
        </w:rPr>
        <w:t>constructed to contain all contents and prevent leakage during handling, storage, transport, or shipping;</w:t>
      </w:r>
    </w:p>
    <w:p w14:paraId="632CADBA" w14:textId="77777777" w:rsidR="0018035D" w:rsidRPr="00F619C5" w:rsidRDefault="00021FD2">
      <w:pPr>
        <w:pStyle w:val="ListParagraph"/>
        <w:numPr>
          <w:ilvl w:val="1"/>
          <w:numId w:val="2"/>
        </w:numPr>
        <w:tabs>
          <w:tab w:val="left" w:pos="1551"/>
          <w:tab w:val="left" w:pos="1552"/>
        </w:tabs>
        <w:spacing w:before="4" w:line="242" w:lineRule="exact"/>
        <w:ind w:hanging="451"/>
        <w:rPr>
          <w:rFonts w:ascii="Times New Roman" w:hAnsi="Times New Roman" w:cs="Times New Roman"/>
          <w:sz w:val="20"/>
        </w:rPr>
      </w:pPr>
      <w:r w:rsidRPr="00F619C5">
        <w:rPr>
          <w:rFonts w:ascii="Times New Roman" w:hAnsi="Times New Roman" w:cs="Times New Roman"/>
          <w:sz w:val="20"/>
        </w:rPr>
        <w:t>appropriately labeled or color-coded;</w:t>
      </w:r>
      <w:r w:rsidRPr="00F619C5">
        <w:rPr>
          <w:rFonts w:ascii="Times New Roman" w:hAnsi="Times New Roman" w:cs="Times New Roman"/>
          <w:spacing w:val="-11"/>
          <w:sz w:val="20"/>
        </w:rPr>
        <w:t xml:space="preserve"> </w:t>
      </w:r>
      <w:r w:rsidRPr="00F619C5">
        <w:rPr>
          <w:rFonts w:ascii="Times New Roman" w:hAnsi="Times New Roman" w:cs="Times New Roman"/>
          <w:sz w:val="20"/>
        </w:rPr>
        <w:t>and</w:t>
      </w:r>
    </w:p>
    <w:p w14:paraId="44119F5F" w14:textId="77777777" w:rsidR="0018035D" w:rsidRPr="00F619C5" w:rsidRDefault="00021FD2">
      <w:pPr>
        <w:pStyle w:val="ListParagraph"/>
        <w:numPr>
          <w:ilvl w:val="1"/>
          <w:numId w:val="2"/>
        </w:numPr>
        <w:tabs>
          <w:tab w:val="left" w:pos="1551"/>
          <w:tab w:val="left" w:pos="1552"/>
        </w:tabs>
        <w:spacing w:line="242" w:lineRule="exact"/>
        <w:ind w:hanging="451"/>
        <w:rPr>
          <w:rFonts w:ascii="Times New Roman" w:hAnsi="Times New Roman" w:cs="Times New Roman"/>
          <w:sz w:val="20"/>
        </w:rPr>
      </w:pPr>
      <w:r w:rsidRPr="00F619C5">
        <w:rPr>
          <w:rFonts w:ascii="Times New Roman" w:hAnsi="Times New Roman" w:cs="Times New Roman"/>
          <w:sz w:val="20"/>
        </w:rPr>
        <w:t>disposed of as regulated</w:t>
      </w:r>
      <w:r w:rsidRPr="00F619C5">
        <w:rPr>
          <w:rFonts w:ascii="Times New Roman" w:hAnsi="Times New Roman" w:cs="Times New Roman"/>
          <w:spacing w:val="-11"/>
          <w:sz w:val="20"/>
        </w:rPr>
        <w:t xml:space="preserve"> </w:t>
      </w:r>
      <w:r w:rsidRPr="00F619C5">
        <w:rPr>
          <w:rFonts w:ascii="Times New Roman" w:hAnsi="Times New Roman" w:cs="Times New Roman"/>
          <w:sz w:val="20"/>
        </w:rPr>
        <w:t>waste.</w:t>
      </w:r>
    </w:p>
    <w:p w14:paraId="731BE171" w14:textId="75FC7F9C" w:rsidR="0018035D" w:rsidRPr="00F619C5" w:rsidRDefault="00917F5F">
      <w:pPr>
        <w:pStyle w:val="BodyText"/>
        <w:spacing w:before="208"/>
        <w:ind w:left="380" w:right="133"/>
        <w:jc w:val="both"/>
        <w:rPr>
          <w:rFonts w:ascii="Times New Roman" w:hAnsi="Times New Roman" w:cs="Times New Roman"/>
        </w:rPr>
      </w:pPr>
      <w:r w:rsidRPr="00F619C5">
        <w:rPr>
          <w:rFonts w:ascii="Times New Roman" w:hAnsi="Times New Roman" w:cs="Times New Roman"/>
        </w:rPr>
        <w:t>S</w:t>
      </w:r>
      <w:r w:rsidR="00021FD2" w:rsidRPr="00F619C5">
        <w:rPr>
          <w:rFonts w:ascii="Times New Roman" w:hAnsi="Times New Roman" w:cs="Times New Roman"/>
        </w:rPr>
        <w:t xml:space="preserve">harps containers must not be opened, emptied, or cleaned manually or in any other manner that would expose individuals to the risk of accident or injury. When full, </w:t>
      </w:r>
      <w:r w:rsidRPr="00F619C5">
        <w:rPr>
          <w:rFonts w:ascii="Times New Roman" w:hAnsi="Times New Roman" w:cs="Times New Roman"/>
        </w:rPr>
        <w:t xml:space="preserve">biohazardous </w:t>
      </w:r>
      <w:r w:rsidR="00021FD2" w:rsidRPr="00F619C5">
        <w:rPr>
          <w:rFonts w:ascii="Times New Roman" w:hAnsi="Times New Roman" w:cs="Times New Roman"/>
        </w:rPr>
        <w:t xml:space="preserve">sharps containers </w:t>
      </w:r>
      <w:r w:rsidRPr="00F619C5">
        <w:rPr>
          <w:rFonts w:ascii="Times New Roman" w:hAnsi="Times New Roman" w:cs="Times New Roman"/>
        </w:rPr>
        <w:t>must</w:t>
      </w:r>
      <w:r w:rsidR="00021FD2" w:rsidRPr="00F619C5">
        <w:rPr>
          <w:rFonts w:ascii="Times New Roman" w:hAnsi="Times New Roman" w:cs="Times New Roman"/>
        </w:rPr>
        <w:t xml:space="preserve"> be autoclaved provided that no hazardous chemicals are present in the container. </w:t>
      </w:r>
      <w:r w:rsidRPr="00F619C5">
        <w:rPr>
          <w:rFonts w:ascii="Times New Roman" w:hAnsi="Times New Roman" w:cs="Times New Roman"/>
        </w:rPr>
        <w:t>. Refer to the Biosafety manual for autoclaving instructions.</w:t>
      </w:r>
    </w:p>
    <w:p w14:paraId="0FA49567" w14:textId="77777777" w:rsidR="0018035D" w:rsidRPr="00F619C5" w:rsidRDefault="0018035D">
      <w:pPr>
        <w:jc w:val="both"/>
        <w:rPr>
          <w:rFonts w:ascii="Times New Roman" w:hAnsi="Times New Roman" w:cs="Times New Roman"/>
        </w:rPr>
        <w:sectPr w:rsidR="0018035D" w:rsidRPr="00F619C5">
          <w:headerReference w:type="default" r:id="rId8"/>
          <w:footerReference w:type="default" r:id="rId9"/>
          <w:type w:val="continuous"/>
          <w:pgSz w:w="12240" w:h="15840"/>
          <w:pgMar w:top="1740" w:right="940" w:bottom="1340" w:left="700" w:header="720" w:footer="1142" w:gutter="0"/>
          <w:pgNumType w:start="1"/>
          <w:cols w:space="720"/>
        </w:sectPr>
      </w:pPr>
    </w:p>
    <w:p w14:paraId="380452E1" w14:textId="77777777" w:rsidR="0018035D" w:rsidRPr="00F619C5" w:rsidRDefault="0018035D">
      <w:pPr>
        <w:pStyle w:val="BodyText"/>
        <w:spacing w:before="6"/>
        <w:rPr>
          <w:rFonts w:ascii="Times New Roman" w:hAnsi="Times New Roman" w:cs="Times New Roman"/>
          <w:sz w:val="11"/>
        </w:rPr>
      </w:pPr>
    </w:p>
    <w:p w14:paraId="18EC6000" w14:textId="77777777" w:rsidR="0018035D" w:rsidRPr="00F619C5" w:rsidRDefault="00021FD2">
      <w:pPr>
        <w:pStyle w:val="Heading2"/>
        <w:spacing w:before="93"/>
        <w:rPr>
          <w:rFonts w:ascii="Times New Roman" w:hAnsi="Times New Roman" w:cs="Times New Roman"/>
          <w:u w:val="none"/>
        </w:rPr>
      </w:pPr>
      <w:r w:rsidRPr="00F619C5">
        <w:rPr>
          <w:rFonts w:ascii="Times New Roman" w:hAnsi="Times New Roman" w:cs="Times New Roman"/>
          <w:u w:val="thick"/>
        </w:rPr>
        <w:t>Recapping Needles</w:t>
      </w:r>
    </w:p>
    <w:p w14:paraId="3F2BA6CF" w14:textId="77777777" w:rsidR="0018035D" w:rsidRPr="00F619C5" w:rsidRDefault="0018035D">
      <w:pPr>
        <w:pStyle w:val="BodyText"/>
        <w:spacing w:before="11"/>
        <w:rPr>
          <w:rFonts w:ascii="Times New Roman" w:hAnsi="Times New Roman" w:cs="Times New Roman"/>
          <w:b/>
          <w:sz w:val="11"/>
        </w:rPr>
      </w:pPr>
    </w:p>
    <w:p w14:paraId="08AB1FA1" w14:textId="16FC53FD" w:rsidR="0018035D" w:rsidRPr="00F619C5" w:rsidRDefault="00021FD2">
      <w:pPr>
        <w:pStyle w:val="BodyText"/>
        <w:spacing w:before="93"/>
        <w:ind w:left="380" w:right="136"/>
        <w:jc w:val="both"/>
        <w:rPr>
          <w:rFonts w:ascii="Times New Roman" w:hAnsi="Times New Roman" w:cs="Times New Roman"/>
        </w:rPr>
      </w:pPr>
      <w:r w:rsidRPr="00F619C5">
        <w:rPr>
          <w:rFonts w:ascii="Times New Roman" w:hAnsi="Times New Roman" w:cs="Times New Roman"/>
        </w:rPr>
        <w:t xml:space="preserve">Contaminated sharps must never be sheared or broken. </w:t>
      </w:r>
      <w:r w:rsidRPr="00F619C5">
        <w:rPr>
          <w:rFonts w:ascii="Times New Roman" w:hAnsi="Times New Roman" w:cs="Times New Roman"/>
          <w:b/>
          <w:u w:val="thick"/>
        </w:rPr>
        <w:t xml:space="preserve">Recapping, bending, or removing </w:t>
      </w:r>
      <w:r w:rsidR="00A82D2B">
        <w:rPr>
          <w:rFonts w:ascii="Times New Roman" w:hAnsi="Times New Roman" w:cs="Times New Roman"/>
          <w:b/>
          <w:u w:val="thick"/>
        </w:rPr>
        <w:t xml:space="preserve">contaminated </w:t>
      </w:r>
      <w:r w:rsidRPr="00F619C5">
        <w:rPr>
          <w:rFonts w:ascii="Times New Roman" w:hAnsi="Times New Roman" w:cs="Times New Roman"/>
          <w:b/>
          <w:u w:val="thick"/>
        </w:rPr>
        <w:t xml:space="preserve">needles is prohibited. </w:t>
      </w:r>
      <w:r w:rsidRPr="00F619C5">
        <w:rPr>
          <w:rFonts w:ascii="Times New Roman" w:hAnsi="Times New Roman" w:cs="Times New Roman"/>
        </w:rPr>
        <w:t xml:space="preserve">However, in rare circumstances, recapping is permissible if it can be demonstrated by the department that no alternative is feasible or that such action is required by a specific procedure. Procedures that describe the recapping process must be written and included in the laboratory-specific safety plan. If recapping is necessary, individuals must use either a mechanical device or a one-handed technique. The cap </w:t>
      </w:r>
      <w:r w:rsidRPr="00F619C5">
        <w:rPr>
          <w:rFonts w:ascii="Times New Roman" w:hAnsi="Times New Roman" w:cs="Times New Roman"/>
          <w:b/>
          <w:u w:val="thick"/>
        </w:rPr>
        <w:t xml:space="preserve">must not be </w:t>
      </w:r>
      <w:r w:rsidRPr="00F619C5">
        <w:rPr>
          <w:rFonts w:ascii="Times New Roman" w:hAnsi="Times New Roman" w:cs="Times New Roman"/>
        </w:rPr>
        <w:t>held in one hand while guiding the sharp into it or placing it over the sharp. A one-handed “scoop” technique uses the needle itself to pick up the cap, and then the cap is pushed against a hard surface to ensure a tight fit onto the device. The cap may also be held with tongs or forceps and placed over the needle. Immediately (or as soon as possible) after use, these sharps must be placed into appropriate containers until properly reprocessed or disposed.</w:t>
      </w:r>
    </w:p>
    <w:p w14:paraId="27E92175" w14:textId="77777777" w:rsidR="0018035D" w:rsidRPr="00F619C5" w:rsidRDefault="0018035D">
      <w:pPr>
        <w:pStyle w:val="BodyText"/>
        <w:spacing w:before="9"/>
        <w:rPr>
          <w:rFonts w:ascii="Times New Roman" w:hAnsi="Times New Roman" w:cs="Times New Roman"/>
          <w:sz w:val="19"/>
        </w:rPr>
      </w:pPr>
    </w:p>
    <w:p w14:paraId="35B5414C" w14:textId="77777777" w:rsidR="0018035D" w:rsidRPr="00F619C5" w:rsidRDefault="00021FD2">
      <w:pPr>
        <w:pStyle w:val="Heading2"/>
        <w:jc w:val="both"/>
        <w:rPr>
          <w:rFonts w:ascii="Times New Roman" w:hAnsi="Times New Roman" w:cs="Times New Roman"/>
          <w:u w:val="none"/>
        </w:rPr>
      </w:pPr>
      <w:r w:rsidRPr="00F619C5">
        <w:rPr>
          <w:rFonts w:ascii="Times New Roman" w:hAnsi="Times New Roman" w:cs="Times New Roman"/>
          <w:u w:val="thick"/>
        </w:rPr>
        <w:t>Reporting an Accident or Injury</w:t>
      </w:r>
    </w:p>
    <w:p w14:paraId="0596D881" w14:textId="77777777" w:rsidR="0018035D" w:rsidRPr="00F619C5" w:rsidRDefault="0018035D">
      <w:pPr>
        <w:pStyle w:val="BodyText"/>
        <w:spacing w:before="2"/>
        <w:rPr>
          <w:rFonts w:ascii="Times New Roman" w:hAnsi="Times New Roman" w:cs="Times New Roman"/>
          <w:b/>
          <w:sz w:val="12"/>
        </w:rPr>
      </w:pPr>
    </w:p>
    <w:p w14:paraId="06FC82D1" w14:textId="77777777" w:rsidR="0018035D" w:rsidRPr="00F619C5" w:rsidRDefault="00021FD2">
      <w:pPr>
        <w:pStyle w:val="BodyText"/>
        <w:spacing w:before="93"/>
        <w:ind w:left="380" w:right="146"/>
        <w:jc w:val="both"/>
        <w:rPr>
          <w:rFonts w:ascii="Times New Roman" w:hAnsi="Times New Roman" w:cs="Times New Roman"/>
        </w:rPr>
      </w:pPr>
      <w:r w:rsidRPr="00F619C5">
        <w:rPr>
          <w:rFonts w:ascii="Times New Roman" w:hAnsi="Times New Roman" w:cs="Times New Roman"/>
        </w:rPr>
        <w:t>In the event of a needlestick, sharps injury, or exposure to human blood or other body fluid, immediately follow these steps:</w:t>
      </w:r>
    </w:p>
    <w:p w14:paraId="20333703" w14:textId="77777777" w:rsidR="0018035D" w:rsidRPr="00F619C5" w:rsidRDefault="0018035D">
      <w:pPr>
        <w:pStyle w:val="BodyText"/>
        <w:spacing w:before="1"/>
        <w:rPr>
          <w:rFonts w:ascii="Times New Roman" w:hAnsi="Times New Roman" w:cs="Times New Roman"/>
        </w:rPr>
      </w:pPr>
    </w:p>
    <w:p w14:paraId="67D23292" w14:textId="77777777" w:rsidR="0018035D" w:rsidRPr="00F619C5" w:rsidRDefault="00021FD2">
      <w:pPr>
        <w:pStyle w:val="ListParagraph"/>
        <w:numPr>
          <w:ilvl w:val="0"/>
          <w:numId w:val="2"/>
        </w:numPr>
        <w:tabs>
          <w:tab w:val="left" w:pos="1100"/>
          <w:tab w:val="left" w:pos="1101"/>
        </w:tabs>
        <w:spacing w:line="245" w:lineRule="exact"/>
        <w:rPr>
          <w:rFonts w:ascii="Times New Roman" w:hAnsi="Times New Roman" w:cs="Times New Roman"/>
          <w:sz w:val="20"/>
        </w:rPr>
      </w:pPr>
      <w:r w:rsidRPr="00F619C5">
        <w:rPr>
          <w:rFonts w:ascii="Times New Roman" w:hAnsi="Times New Roman" w:cs="Times New Roman"/>
          <w:sz w:val="20"/>
        </w:rPr>
        <w:t>Wash cuts and/or other needlestick injury with soap and</w:t>
      </w:r>
      <w:r w:rsidRPr="00F619C5">
        <w:rPr>
          <w:rFonts w:ascii="Times New Roman" w:hAnsi="Times New Roman" w:cs="Times New Roman"/>
          <w:spacing w:val="-18"/>
          <w:sz w:val="20"/>
        </w:rPr>
        <w:t xml:space="preserve"> </w:t>
      </w:r>
      <w:r w:rsidRPr="00F619C5">
        <w:rPr>
          <w:rFonts w:ascii="Times New Roman" w:hAnsi="Times New Roman" w:cs="Times New Roman"/>
          <w:sz w:val="20"/>
        </w:rPr>
        <w:t>water;</w:t>
      </w:r>
    </w:p>
    <w:p w14:paraId="05EB0BFF" w14:textId="77777777" w:rsidR="0018035D" w:rsidRPr="00F619C5" w:rsidRDefault="00021FD2">
      <w:pPr>
        <w:pStyle w:val="ListParagraph"/>
        <w:numPr>
          <w:ilvl w:val="0"/>
          <w:numId w:val="2"/>
        </w:numPr>
        <w:tabs>
          <w:tab w:val="left" w:pos="1100"/>
          <w:tab w:val="left" w:pos="1101"/>
        </w:tabs>
        <w:rPr>
          <w:rFonts w:ascii="Times New Roman" w:hAnsi="Times New Roman" w:cs="Times New Roman"/>
          <w:sz w:val="20"/>
        </w:rPr>
      </w:pPr>
      <w:r w:rsidRPr="00F619C5">
        <w:rPr>
          <w:rFonts w:ascii="Times New Roman" w:hAnsi="Times New Roman" w:cs="Times New Roman"/>
          <w:sz w:val="20"/>
        </w:rPr>
        <w:t>If there is exposure to the nose, mouth, or mucous membranes, flush with</w:t>
      </w:r>
      <w:r w:rsidRPr="00F619C5">
        <w:rPr>
          <w:rFonts w:ascii="Times New Roman" w:hAnsi="Times New Roman" w:cs="Times New Roman"/>
          <w:spacing w:val="-22"/>
          <w:sz w:val="20"/>
        </w:rPr>
        <w:t xml:space="preserve"> </w:t>
      </w:r>
      <w:r w:rsidRPr="00F619C5">
        <w:rPr>
          <w:rFonts w:ascii="Times New Roman" w:hAnsi="Times New Roman" w:cs="Times New Roman"/>
          <w:sz w:val="20"/>
        </w:rPr>
        <w:t>water;</w:t>
      </w:r>
    </w:p>
    <w:p w14:paraId="2537D9E7" w14:textId="77777777" w:rsidR="0018035D" w:rsidRPr="00F619C5" w:rsidRDefault="00021FD2">
      <w:pPr>
        <w:pStyle w:val="ListParagraph"/>
        <w:numPr>
          <w:ilvl w:val="0"/>
          <w:numId w:val="2"/>
        </w:numPr>
        <w:tabs>
          <w:tab w:val="left" w:pos="1100"/>
          <w:tab w:val="left" w:pos="1101"/>
        </w:tabs>
        <w:spacing w:line="242" w:lineRule="exact"/>
        <w:rPr>
          <w:rFonts w:ascii="Times New Roman" w:hAnsi="Times New Roman" w:cs="Times New Roman"/>
          <w:sz w:val="20"/>
        </w:rPr>
      </w:pPr>
      <w:r w:rsidRPr="00F619C5">
        <w:rPr>
          <w:rFonts w:ascii="Times New Roman" w:hAnsi="Times New Roman" w:cs="Times New Roman"/>
          <w:sz w:val="20"/>
        </w:rPr>
        <w:t>If there is exposure is to the eyes, irrigate with clean water, saline, or sterile</w:t>
      </w:r>
      <w:r w:rsidRPr="00F619C5">
        <w:rPr>
          <w:rFonts w:ascii="Times New Roman" w:hAnsi="Times New Roman" w:cs="Times New Roman"/>
          <w:spacing w:val="-37"/>
          <w:sz w:val="20"/>
        </w:rPr>
        <w:t xml:space="preserve"> </w:t>
      </w:r>
      <w:r w:rsidRPr="00F619C5">
        <w:rPr>
          <w:rFonts w:ascii="Times New Roman" w:hAnsi="Times New Roman" w:cs="Times New Roman"/>
          <w:sz w:val="20"/>
        </w:rPr>
        <w:t>irrigants;</w:t>
      </w:r>
    </w:p>
    <w:p w14:paraId="6AAF4975" w14:textId="77777777" w:rsidR="0018035D" w:rsidRPr="00F619C5" w:rsidRDefault="00021FD2">
      <w:pPr>
        <w:pStyle w:val="ListParagraph"/>
        <w:numPr>
          <w:ilvl w:val="0"/>
          <w:numId w:val="2"/>
        </w:numPr>
        <w:tabs>
          <w:tab w:val="left" w:pos="1100"/>
          <w:tab w:val="left" w:pos="1101"/>
        </w:tabs>
        <w:rPr>
          <w:rFonts w:ascii="Times New Roman" w:hAnsi="Times New Roman" w:cs="Times New Roman"/>
          <w:sz w:val="20"/>
        </w:rPr>
      </w:pPr>
      <w:r w:rsidRPr="00F619C5">
        <w:rPr>
          <w:rFonts w:ascii="Times New Roman" w:hAnsi="Times New Roman" w:cs="Times New Roman"/>
          <w:sz w:val="20"/>
        </w:rPr>
        <w:t>Report the incident to your supervisor;</w:t>
      </w:r>
      <w:r w:rsidRPr="00F619C5">
        <w:rPr>
          <w:rFonts w:ascii="Times New Roman" w:hAnsi="Times New Roman" w:cs="Times New Roman"/>
          <w:spacing w:val="-13"/>
          <w:sz w:val="20"/>
        </w:rPr>
        <w:t xml:space="preserve"> </w:t>
      </w:r>
      <w:r w:rsidRPr="00F619C5">
        <w:rPr>
          <w:rFonts w:ascii="Times New Roman" w:hAnsi="Times New Roman" w:cs="Times New Roman"/>
          <w:sz w:val="20"/>
        </w:rPr>
        <w:t>and</w:t>
      </w:r>
    </w:p>
    <w:p w14:paraId="61A205D6" w14:textId="77777777" w:rsidR="0018035D" w:rsidRPr="00F619C5" w:rsidRDefault="00021FD2">
      <w:pPr>
        <w:pStyle w:val="ListParagraph"/>
        <w:numPr>
          <w:ilvl w:val="0"/>
          <w:numId w:val="2"/>
        </w:numPr>
        <w:tabs>
          <w:tab w:val="left" w:pos="1100"/>
          <w:tab w:val="left" w:pos="1101"/>
        </w:tabs>
        <w:spacing w:line="240" w:lineRule="auto"/>
        <w:rPr>
          <w:rFonts w:ascii="Times New Roman" w:hAnsi="Times New Roman" w:cs="Times New Roman"/>
          <w:sz w:val="20"/>
        </w:rPr>
      </w:pPr>
      <w:r w:rsidRPr="00F619C5">
        <w:rPr>
          <w:rFonts w:ascii="Times New Roman" w:hAnsi="Times New Roman" w:cs="Times New Roman"/>
          <w:sz w:val="20"/>
        </w:rPr>
        <w:t>Immediately seek medical</w:t>
      </w:r>
      <w:r w:rsidRPr="00F619C5">
        <w:rPr>
          <w:rFonts w:ascii="Times New Roman" w:hAnsi="Times New Roman" w:cs="Times New Roman"/>
          <w:spacing w:val="-9"/>
          <w:sz w:val="20"/>
        </w:rPr>
        <w:t xml:space="preserve"> </w:t>
      </w:r>
      <w:r w:rsidRPr="00F619C5">
        <w:rPr>
          <w:rFonts w:ascii="Times New Roman" w:hAnsi="Times New Roman" w:cs="Times New Roman"/>
          <w:sz w:val="20"/>
        </w:rPr>
        <w:t>treatment.</w:t>
      </w:r>
    </w:p>
    <w:p w14:paraId="1FC6D802" w14:textId="77777777" w:rsidR="0018035D" w:rsidRPr="00F619C5" w:rsidRDefault="0018035D">
      <w:pPr>
        <w:pStyle w:val="BodyText"/>
        <w:spacing w:before="7"/>
        <w:rPr>
          <w:rFonts w:ascii="Times New Roman" w:hAnsi="Times New Roman" w:cs="Times New Roman"/>
          <w:sz w:val="19"/>
        </w:rPr>
      </w:pPr>
    </w:p>
    <w:p w14:paraId="2A598278" w14:textId="77777777" w:rsidR="0018035D" w:rsidRPr="00F619C5" w:rsidRDefault="00021FD2">
      <w:pPr>
        <w:pStyle w:val="BodyText"/>
        <w:spacing w:before="1"/>
        <w:ind w:left="380" w:right="144"/>
        <w:jc w:val="both"/>
        <w:rPr>
          <w:rFonts w:ascii="Times New Roman" w:hAnsi="Times New Roman" w:cs="Times New Roman"/>
          <w:highlight w:val="yellow"/>
        </w:rPr>
      </w:pPr>
      <w:r w:rsidRPr="00F619C5">
        <w:rPr>
          <w:rFonts w:ascii="Times New Roman" w:hAnsi="Times New Roman" w:cs="Times New Roman"/>
        </w:rPr>
        <w:t>It is highly recommended that post-exposure treatment, if indicated, be started as soon as possible following an exposure incident. If an exposure occurs, the individual should immediately go to UNT Health Services. If UNT Health Services is closed, emergency care may be obtained at the nearest emergency room and reported to UNT Health Services and RMS/BSO the next business day. In addition, whenever someone is injured or becomes ill from work-related incidents, the following forms need to be completed in order to process Worker’s Compensation Claims</w:t>
      </w:r>
      <w:r w:rsidRPr="00F619C5">
        <w:rPr>
          <w:rFonts w:ascii="Times New Roman" w:hAnsi="Times New Roman" w:cs="Times New Roman"/>
          <w:highlight w:val="yellow"/>
        </w:rPr>
        <w:t>:</w:t>
      </w:r>
    </w:p>
    <w:p w14:paraId="46EF02D8" w14:textId="77777777" w:rsidR="0018035D" w:rsidRPr="00F619C5" w:rsidRDefault="0018035D">
      <w:pPr>
        <w:pStyle w:val="BodyText"/>
        <w:spacing w:before="1"/>
        <w:rPr>
          <w:rFonts w:ascii="Times New Roman" w:hAnsi="Times New Roman" w:cs="Times New Roman"/>
          <w:highlight w:val="yellow"/>
        </w:rPr>
      </w:pPr>
    </w:p>
    <w:p w14:paraId="70247846" w14:textId="77777777" w:rsidR="00664B1C" w:rsidRPr="00B37A3B" w:rsidRDefault="00664B1C" w:rsidP="00664B1C">
      <w:pPr>
        <w:pStyle w:val="ListParagraph"/>
        <w:numPr>
          <w:ilvl w:val="0"/>
          <w:numId w:val="1"/>
        </w:numPr>
        <w:tabs>
          <w:tab w:val="left" w:pos="1011"/>
          <w:tab w:val="left" w:pos="1012"/>
        </w:tabs>
        <w:spacing w:before="1"/>
        <w:ind w:left="1170" w:firstLine="0"/>
        <w:rPr>
          <w:rFonts w:ascii="Times New Roman" w:hAnsi="Times New Roman" w:cs="Times New Roman"/>
          <w:sz w:val="24"/>
          <w:szCs w:val="24"/>
        </w:rPr>
      </w:pPr>
      <w:r w:rsidRPr="00B37A3B">
        <w:rPr>
          <w:rFonts w:ascii="Times New Roman" w:hAnsi="Times New Roman" w:cs="Times New Roman"/>
          <w:color w:val="0000FF"/>
          <w:sz w:val="24"/>
          <w:szCs w:val="24"/>
          <w:u w:val="single" w:color="0000FF"/>
        </w:rPr>
        <w:t>Incident Report (to RMS)</w:t>
      </w:r>
    </w:p>
    <w:p w14:paraId="42271422" w14:textId="77777777" w:rsidR="00664B1C" w:rsidRPr="00F619C5" w:rsidRDefault="00664B1C" w:rsidP="00664B1C">
      <w:pPr>
        <w:pStyle w:val="ListParagraph"/>
        <w:numPr>
          <w:ilvl w:val="0"/>
          <w:numId w:val="1"/>
        </w:numPr>
        <w:tabs>
          <w:tab w:val="left" w:pos="1011"/>
          <w:tab w:val="left" w:pos="1012"/>
        </w:tabs>
        <w:spacing w:line="240" w:lineRule="auto"/>
        <w:ind w:left="1170" w:firstLine="0"/>
        <w:rPr>
          <w:rFonts w:ascii="Times New Roman" w:hAnsi="Times New Roman" w:cs="Times New Roman"/>
          <w:sz w:val="24"/>
          <w:szCs w:val="24"/>
          <w:highlight w:val="yellow"/>
        </w:rPr>
      </w:pPr>
      <w:r w:rsidRPr="00F619C5">
        <w:rPr>
          <w:rFonts w:ascii="Times New Roman" w:hAnsi="Times New Roman" w:cs="Times New Roman"/>
          <w:color w:val="0000FF"/>
          <w:sz w:val="24"/>
          <w:szCs w:val="24"/>
          <w:highlight w:val="yellow"/>
          <w:u w:val="single" w:color="0000FF"/>
        </w:rPr>
        <w:t>What else?</w:t>
      </w:r>
    </w:p>
    <w:p w14:paraId="6C883B53" w14:textId="77777777" w:rsidR="0018035D" w:rsidRPr="00F619C5" w:rsidRDefault="00917F5F">
      <w:pPr>
        <w:pStyle w:val="BodyText"/>
        <w:spacing w:before="7"/>
        <w:rPr>
          <w:rFonts w:ascii="Times New Roman" w:hAnsi="Times New Roman" w:cs="Times New Roman"/>
          <w:sz w:val="11"/>
          <w:highlight w:val="yellow"/>
        </w:rPr>
      </w:pPr>
      <w:r w:rsidRPr="00F619C5">
        <w:rPr>
          <w:rStyle w:val="CommentReference"/>
          <w:rFonts w:ascii="Times New Roman" w:hAnsi="Times New Roman" w:cs="Times New Roman"/>
        </w:rPr>
        <w:commentReference w:id="0"/>
      </w:r>
    </w:p>
    <w:p w14:paraId="4158DA7C" w14:textId="6CF36EBD" w:rsidR="0018035D" w:rsidRPr="00F619C5" w:rsidRDefault="00021FD2">
      <w:pPr>
        <w:pStyle w:val="BodyText"/>
        <w:spacing w:before="93"/>
        <w:ind w:left="380" w:right="136"/>
        <w:jc w:val="both"/>
        <w:rPr>
          <w:rFonts w:ascii="Times New Roman" w:hAnsi="Times New Roman" w:cs="Times New Roman"/>
        </w:rPr>
      </w:pPr>
      <w:r w:rsidRPr="00F619C5">
        <w:rPr>
          <w:rFonts w:ascii="Times New Roman" w:hAnsi="Times New Roman" w:cs="Times New Roman"/>
          <w:highlight w:val="yellow"/>
        </w:rPr>
        <w:t>Supervisors must report all</w:t>
      </w:r>
      <w:r w:rsidRPr="00F619C5">
        <w:rPr>
          <w:rFonts w:ascii="Times New Roman" w:hAnsi="Times New Roman" w:cs="Times New Roman"/>
        </w:rPr>
        <w:t xml:space="preserve"> accidents and injuries to RMS. </w:t>
      </w:r>
      <w:r w:rsidR="00664B1C" w:rsidRPr="00F619C5">
        <w:rPr>
          <w:rFonts w:ascii="Times New Roman" w:hAnsi="Times New Roman" w:cs="Times New Roman"/>
          <w:sz w:val="24"/>
          <w:szCs w:val="24"/>
        </w:rPr>
        <w:t xml:space="preserve">Submit the </w:t>
      </w:r>
      <w:r w:rsidR="00664B1C" w:rsidRPr="00F619C5">
        <w:rPr>
          <w:rFonts w:ascii="Times New Roman" w:hAnsi="Times New Roman" w:cs="Times New Roman"/>
          <w:sz w:val="24"/>
          <w:szCs w:val="24"/>
          <w:highlight w:val="yellow"/>
        </w:rPr>
        <w:t>Biohazard Incident Report</w:t>
      </w:r>
      <w:r w:rsidR="00664B1C" w:rsidRPr="00F619C5">
        <w:rPr>
          <w:rFonts w:ascii="Times New Roman" w:hAnsi="Times New Roman" w:cs="Times New Roman"/>
          <w:sz w:val="24"/>
          <w:szCs w:val="24"/>
        </w:rPr>
        <w:t xml:space="preserve"> Form to </w:t>
      </w:r>
      <w:hyperlink r:id="rId12" w:history="1">
        <w:r w:rsidR="00664B1C" w:rsidRPr="00F619C5">
          <w:rPr>
            <w:rStyle w:val="Hyperlink"/>
            <w:rFonts w:ascii="Times New Roman" w:hAnsi="Times New Roman" w:cs="Times New Roman"/>
            <w:sz w:val="24"/>
            <w:szCs w:val="24"/>
          </w:rPr>
          <w:t>biosafety@unt.edu</w:t>
        </w:r>
      </w:hyperlink>
      <w:r w:rsidR="00664B1C" w:rsidRPr="00F619C5">
        <w:rPr>
          <w:rFonts w:ascii="Times New Roman" w:hAnsi="Times New Roman" w:cs="Times New Roman"/>
          <w:sz w:val="24"/>
          <w:szCs w:val="24"/>
        </w:rPr>
        <w:t xml:space="preserve"> within 48h.  </w:t>
      </w:r>
      <w:r w:rsidRPr="00F619C5">
        <w:rPr>
          <w:rFonts w:ascii="Times New Roman" w:hAnsi="Times New Roman" w:cs="Times New Roman"/>
        </w:rPr>
        <w:t>Federal, state,</w:t>
      </w:r>
      <w:bookmarkStart w:id="1" w:name="_GoBack"/>
      <w:bookmarkEnd w:id="1"/>
      <w:r w:rsidRPr="00F619C5">
        <w:rPr>
          <w:rFonts w:ascii="Times New Roman" w:hAnsi="Times New Roman" w:cs="Times New Roman"/>
        </w:rPr>
        <w:t xml:space="preserve"> and local agencies may also need to be notified depending on the nature of the accident/injury. If the project involves recombinant or synthetic nucleic acids, the Institutional Biosafety Committee will be required to report any significant problems with or violations of the National Institutes of Health (NIH) </w:t>
      </w:r>
      <w:hyperlink r:id="rId13">
        <w:r w:rsidRPr="00F619C5">
          <w:rPr>
            <w:rFonts w:ascii="Times New Roman" w:hAnsi="Times New Roman" w:cs="Times New Roman"/>
            <w:color w:val="0000FF"/>
            <w:u w:val="single" w:color="0000FF"/>
          </w:rPr>
          <w:t>Guidelines for Research with Recombinant or Synthetic Nucleic Acid</w:t>
        </w:r>
      </w:hyperlink>
      <w:r w:rsidRPr="00F619C5">
        <w:rPr>
          <w:rFonts w:ascii="Times New Roman" w:hAnsi="Times New Roman" w:cs="Times New Roman"/>
          <w:color w:val="0000FF"/>
          <w:u w:val="single" w:color="0000FF"/>
        </w:rPr>
        <w:t xml:space="preserve"> </w:t>
      </w:r>
      <w:hyperlink r:id="rId14">
        <w:r w:rsidRPr="00F619C5">
          <w:rPr>
            <w:rFonts w:ascii="Times New Roman" w:hAnsi="Times New Roman" w:cs="Times New Roman"/>
            <w:color w:val="0000FF"/>
            <w:u w:val="single" w:color="0000FF"/>
          </w:rPr>
          <w:t xml:space="preserve">Molecules </w:t>
        </w:r>
      </w:hyperlink>
      <w:r w:rsidRPr="00F619C5">
        <w:rPr>
          <w:rFonts w:ascii="Times New Roman" w:hAnsi="Times New Roman" w:cs="Times New Roman"/>
        </w:rPr>
        <w:t>and any significant research-related accidents or illnesses to the NIH within 30</w:t>
      </w:r>
      <w:r w:rsidRPr="00F619C5">
        <w:rPr>
          <w:rFonts w:ascii="Times New Roman" w:hAnsi="Times New Roman" w:cs="Times New Roman"/>
          <w:spacing w:val="-24"/>
        </w:rPr>
        <w:t xml:space="preserve"> </w:t>
      </w:r>
      <w:r w:rsidRPr="00F619C5">
        <w:rPr>
          <w:rFonts w:ascii="Times New Roman" w:hAnsi="Times New Roman" w:cs="Times New Roman"/>
        </w:rPr>
        <w:t>days.</w:t>
      </w:r>
    </w:p>
    <w:p w14:paraId="08C2A04A" w14:textId="77777777" w:rsidR="0018035D" w:rsidRPr="00F619C5" w:rsidRDefault="0018035D">
      <w:pPr>
        <w:pStyle w:val="BodyText"/>
        <w:spacing w:before="8"/>
        <w:rPr>
          <w:rFonts w:ascii="Times New Roman" w:hAnsi="Times New Roman" w:cs="Times New Roman"/>
          <w:sz w:val="11"/>
        </w:rPr>
      </w:pPr>
    </w:p>
    <w:p w14:paraId="2D8BF72C" w14:textId="77777777" w:rsidR="0018035D" w:rsidRPr="00F619C5" w:rsidRDefault="00021FD2">
      <w:pPr>
        <w:pStyle w:val="Heading2"/>
        <w:spacing w:before="93"/>
        <w:rPr>
          <w:rFonts w:ascii="Times New Roman" w:hAnsi="Times New Roman" w:cs="Times New Roman"/>
          <w:u w:val="none"/>
        </w:rPr>
      </w:pPr>
      <w:r w:rsidRPr="00F619C5">
        <w:rPr>
          <w:rFonts w:ascii="Times New Roman" w:hAnsi="Times New Roman" w:cs="Times New Roman"/>
          <w:u w:val="thick"/>
        </w:rPr>
        <w:t>Additional Information</w:t>
      </w:r>
    </w:p>
    <w:p w14:paraId="6D9626FA" w14:textId="77777777" w:rsidR="0018035D" w:rsidRPr="00F619C5" w:rsidRDefault="0018035D">
      <w:pPr>
        <w:pStyle w:val="BodyText"/>
        <w:spacing w:before="2"/>
        <w:rPr>
          <w:rFonts w:ascii="Times New Roman" w:hAnsi="Times New Roman" w:cs="Times New Roman"/>
          <w:b/>
          <w:sz w:val="12"/>
        </w:rPr>
      </w:pPr>
    </w:p>
    <w:p w14:paraId="3462366A" w14:textId="77777777" w:rsidR="0018035D" w:rsidRPr="00F619C5" w:rsidRDefault="00021FD2">
      <w:pPr>
        <w:pStyle w:val="BodyText"/>
        <w:spacing w:before="93"/>
        <w:ind w:left="380" w:right="147"/>
        <w:jc w:val="both"/>
        <w:rPr>
          <w:rFonts w:ascii="Times New Roman" w:hAnsi="Times New Roman" w:cs="Times New Roman"/>
        </w:rPr>
      </w:pPr>
      <w:r w:rsidRPr="00F619C5">
        <w:rPr>
          <w:rFonts w:ascii="Times New Roman" w:hAnsi="Times New Roman" w:cs="Times New Roman"/>
        </w:rPr>
        <w:t>It is intended that the Principal Investigator (PI) and supervisory personnel will supplement this information with instruction and guidance regarding specific practices and procedures unique to the work being done in their facilities.</w:t>
      </w:r>
    </w:p>
    <w:sectPr w:rsidR="0018035D" w:rsidRPr="00F619C5">
      <w:pgSz w:w="12240" w:h="15840"/>
      <w:pgMar w:top="1740" w:right="940" w:bottom="1340" w:left="700" w:header="720" w:footer="1142"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Shoff, Megan" w:date="2018-07-27T16:26:00Z" w:initials="SM">
    <w:p w14:paraId="1491FEE8" w14:textId="0896D525" w:rsidR="00917F5F" w:rsidRDefault="00917F5F">
      <w:pPr>
        <w:pStyle w:val="CommentText"/>
      </w:pPr>
      <w:r>
        <w:rPr>
          <w:rStyle w:val="CommentReference"/>
        </w:rPr>
        <w:annotationRef/>
      </w:r>
      <w:r>
        <w:t>Need hyperlinks for these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491FEE8"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8329E" w14:textId="77777777" w:rsidR="004C39F6" w:rsidRDefault="00021FD2">
      <w:r>
        <w:separator/>
      </w:r>
    </w:p>
  </w:endnote>
  <w:endnote w:type="continuationSeparator" w:id="0">
    <w:p w14:paraId="09E9802E" w14:textId="77777777" w:rsidR="004C39F6" w:rsidRDefault="00021F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808992" w14:textId="77777777" w:rsidR="0018035D" w:rsidRDefault="00B37A3B">
    <w:pPr>
      <w:pStyle w:val="BodyText"/>
      <w:spacing w:line="14" w:lineRule="auto"/>
    </w:pPr>
    <w:r>
      <w:pict w14:anchorId="7A339076">
        <v:shapetype id="_x0000_t202" coordsize="21600,21600" o:spt="202" path="m,l,21600r21600,l21600,xe">
          <v:stroke joinstyle="miter"/>
          <v:path gradientshapeok="t" o:connecttype="rect"/>
        </v:shapetype>
        <v:shape id="_x0000_s1025" type="#_x0000_t202" style="position:absolute;margin-left:363.65pt;margin-top:723.9pt;width:196.4pt;height:36.05pt;z-index:-251658752;mso-position-horizontal-relative:page;mso-position-vertical-relative:page" filled="f" stroked="f">
          <v:textbox inset="0,0,0,0">
            <w:txbxContent>
              <w:p w14:paraId="273A0271" w14:textId="77777777" w:rsidR="0018035D" w:rsidRDefault="00021FD2">
                <w:pPr>
                  <w:pStyle w:val="BodyText"/>
                  <w:spacing w:before="12"/>
                  <w:ind w:left="20" w:right="35" w:firstLine="1790"/>
                  <w:jc w:val="right"/>
                </w:pPr>
                <w:r>
                  <w:t>RMS/BSO biosafety@unt.edu</w:t>
                </w:r>
              </w:p>
              <w:p w14:paraId="777C8163" w14:textId="575A8DC8" w:rsidR="0018035D" w:rsidRDefault="00021FD2">
                <w:pPr>
                  <w:pStyle w:val="BodyText"/>
                  <w:ind w:right="39"/>
                  <w:jc w:val="right"/>
                </w:pPr>
                <w:r>
                  <w:t xml:space="preserve">Page </w:t>
                </w:r>
                <w:r>
                  <w:fldChar w:fldCharType="begin"/>
                </w:r>
                <w:r>
                  <w:instrText xml:space="preserve"> PAGE </w:instrText>
                </w:r>
                <w:r>
                  <w:fldChar w:fldCharType="separate"/>
                </w:r>
                <w:r w:rsidR="00B37A3B">
                  <w:rPr>
                    <w:noProof/>
                  </w:rPr>
                  <w:t>2</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9005A5" w14:textId="77777777" w:rsidR="004C39F6" w:rsidRDefault="00021FD2">
      <w:r>
        <w:separator/>
      </w:r>
    </w:p>
  </w:footnote>
  <w:footnote w:type="continuationSeparator" w:id="0">
    <w:p w14:paraId="04D047B7" w14:textId="77777777" w:rsidR="004C39F6" w:rsidRDefault="00021F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196C50" w14:textId="77777777" w:rsidR="0018035D" w:rsidRDefault="0018035D">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2E06B2C"/>
    <w:multiLevelType w:val="hybridMultilevel"/>
    <w:tmpl w:val="80A836EA"/>
    <w:lvl w:ilvl="0" w:tplc="11DA3726">
      <w:numFmt w:val="bullet"/>
      <w:lvlText w:val=""/>
      <w:lvlJc w:val="left"/>
      <w:pPr>
        <w:ind w:left="1011" w:hanging="360"/>
      </w:pPr>
      <w:rPr>
        <w:rFonts w:ascii="Symbol" w:eastAsia="Symbol" w:hAnsi="Symbol" w:cs="Symbol" w:hint="default"/>
        <w:w w:val="99"/>
        <w:sz w:val="20"/>
        <w:szCs w:val="20"/>
      </w:rPr>
    </w:lvl>
    <w:lvl w:ilvl="1" w:tplc="32F8CA0A">
      <w:numFmt w:val="bullet"/>
      <w:lvlText w:val="•"/>
      <w:lvlJc w:val="left"/>
      <w:pPr>
        <w:ind w:left="1978" w:hanging="360"/>
      </w:pPr>
      <w:rPr>
        <w:rFonts w:hint="default"/>
      </w:rPr>
    </w:lvl>
    <w:lvl w:ilvl="2" w:tplc="6868DDDC">
      <w:numFmt w:val="bullet"/>
      <w:lvlText w:val="•"/>
      <w:lvlJc w:val="left"/>
      <w:pPr>
        <w:ind w:left="2936" w:hanging="360"/>
      </w:pPr>
      <w:rPr>
        <w:rFonts w:hint="default"/>
      </w:rPr>
    </w:lvl>
    <w:lvl w:ilvl="3" w:tplc="BF98C290">
      <w:numFmt w:val="bullet"/>
      <w:lvlText w:val="•"/>
      <w:lvlJc w:val="left"/>
      <w:pPr>
        <w:ind w:left="3894" w:hanging="360"/>
      </w:pPr>
      <w:rPr>
        <w:rFonts w:hint="default"/>
      </w:rPr>
    </w:lvl>
    <w:lvl w:ilvl="4" w:tplc="91B08E7A">
      <w:numFmt w:val="bullet"/>
      <w:lvlText w:val="•"/>
      <w:lvlJc w:val="left"/>
      <w:pPr>
        <w:ind w:left="4852" w:hanging="360"/>
      </w:pPr>
      <w:rPr>
        <w:rFonts w:hint="default"/>
      </w:rPr>
    </w:lvl>
    <w:lvl w:ilvl="5" w:tplc="721AAF54">
      <w:numFmt w:val="bullet"/>
      <w:lvlText w:val="•"/>
      <w:lvlJc w:val="left"/>
      <w:pPr>
        <w:ind w:left="5810" w:hanging="360"/>
      </w:pPr>
      <w:rPr>
        <w:rFonts w:hint="default"/>
      </w:rPr>
    </w:lvl>
    <w:lvl w:ilvl="6" w:tplc="B6EC008A">
      <w:numFmt w:val="bullet"/>
      <w:lvlText w:val="•"/>
      <w:lvlJc w:val="left"/>
      <w:pPr>
        <w:ind w:left="6768" w:hanging="360"/>
      </w:pPr>
      <w:rPr>
        <w:rFonts w:hint="default"/>
      </w:rPr>
    </w:lvl>
    <w:lvl w:ilvl="7" w:tplc="084491F6">
      <w:numFmt w:val="bullet"/>
      <w:lvlText w:val="•"/>
      <w:lvlJc w:val="left"/>
      <w:pPr>
        <w:ind w:left="7726" w:hanging="360"/>
      </w:pPr>
      <w:rPr>
        <w:rFonts w:hint="default"/>
      </w:rPr>
    </w:lvl>
    <w:lvl w:ilvl="8" w:tplc="1B82A404">
      <w:numFmt w:val="bullet"/>
      <w:lvlText w:val="•"/>
      <w:lvlJc w:val="left"/>
      <w:pPr>
        <w:ind w:left="8684" w:hanging="360"/>
      </w:pPr>
      <w:rPr>
        <w:rFonts w:hint="default"/>
      </w:rPr>
    </w:lvl>
  </w:abstractNum>
  <w:abstractNum w:abstractNumId="1" w15:restartNumberingAfterBreak="0">
    <w:nsid w:val="666D2F75"/>
    <w:multiLevelType w:val="hybridMultilevel"/>
    <w:tmpl w:val="B624F546"/>
    <w:lvl w:ilvl="0" w:tplc="46CEC37A">
      <w:numFmt w:val="bullet"/>
      <w:lvlText w:val=""/>
      <w:lvlJc w:val="left"/>
      <w:pPr>
        <w:ind w:left="1100" w:hanging="360"/>
      </w:pPr>
      <w:rPr>
        <w:rFonts w:ascii="Symbol" w:eastAsia="Symbol" w:hAnsi="Symbol" w:cs="Symbol" w:hint="default"/>
        <w:w w:val="99"/>
        <w:sz w:val="20"/>
        <w:szCs w:val="20"/>
      </w:rPr>
    </w:lvl>
    <w:lvl w:ilvl="1" w:tplc="BD0E5E8A">
      <w:numFmt w:val="bullet"/>
      <w:lvlText w:val="-"/>
      <w:lvlJc w:val="left"/>
      <w:pPr>
        <w:ind w:left="1551" w:hanging="452"/>
      </w:pPr>
      <w:rPr>
        <w:rFonts w:ascii="Perpetua" w:eastAsia="Perpetua" w:hAnsi="Perpetua" w:cs="Perpetua" w:hint="default"/>
        <w:w w:val="99"/>
        <w:sz w:val="20"/>
        <w:szCs w:val="20"/>
      </w:rPr>
    </w:lvl>
    <w:lvl w:ilvl="2" w:tplc="5F326BF6">
      <w:numFmt w:val="bullet"/>
      <w:lvlText w:val="•"/>
      <w:lvlJc w:val="left"/>
      <w:pPr>
        <w:ind w:left="2564" w:hanging="452"/>
      </w:pPr>
      <w:rPr>
        <w:rFonts w:hint="default"/>
      </w:rPr>
    </w:lvl>
    <w:lvl w:ilvl="3" w:tplc="471C760A">
      <w:numFmt w:val="bullet"/>
      <w:lvlText w:val="•"/>
      <w:lvlJc w:val="left"/>
      <w:pPr>
        <w:ind w:left="3568" w:hanging="452"/>
      </w:pPr>
      <w:rPr>
        <w:rFonts w:hint="default"/>
      </w:rPr>
    </w:lvl>
    <w:lvl w:ilvl="4" w:tplc="F7A8A512">
      <w:numFmt w:val="bullet"/>
      <w:lvlText w:val="•"/>
      <w:lvlJc w:val="left"/>
      <w:pPr>
        <w:ind w:left="4573" w:hanging="452"/>
      </w:pPr>
      <w:rPr>
        <w:rFonts w:hint="default"/>
      </w:rPr>
    </w:lvl>
    <w:lvl w:ilvl="5" w:tplc="4A94A07E">
      <w:numFmt w:val="bullet"/>
      <w:lvlText w:val="•"/>
      <w:lvlJc w:val="left"/>
      <w:pPr>
        <w:ind w:left="5577" w:hanging="452"/>
      </w:pPr>
      <w:rPr>
        <w:rFonts w:hint="default"/>
      </w:rPr>
    </w:lvl>
    <w:lvl w:ilvl="6" w:tplc="B1882DCE">
      <w:numFmt w:val="bullet"/>
      <w:lvlText w:val="•"/>
      <w:lvlJc w:val="left"/>
      <w:pPr>
        <w:ind w:left="6582" w:hanging="452"/>
      </w:pPr>
      <w:rPr>
        <w:rFonts w:hint="default"/>
      </w:rPr>
    </w:lvl>
    <w:lvl w:ilvl="7" w:tplc="95705E04">
      <w:numFmt w:val="bullet"/>
      <w:lvlText w:val="•"/>
      <w:lvlJc w:val="left"/>
      <w:pPr>
        <w:ind w:left="7586" w:hanging="452"/>
      </w:pPr>
      <w:rPr>
        <w:rFonts w:hint="default"/>
      </w:rPr>
    </w:lvl>
    <w:lvl w:ilvl="8" w:tplc="48762586">
      <w:numFmt w:val="bullet"/>
      <w:lvlText w:val="•"/>
      <w:lvlJc w:val="left"/>
      <w:pPr>
        <w:ind w:left="8591" w:hanging="452"/>
      </w:pPr>
      <w:rPr>
        <w:rFont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hoff, Megan">
    <w15:presenceInfo w15:providerId="AD" w15:userId="S-1-5-21-3676313182-2055043702-2189418671-46034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useFELayout/>
    <w:compatSetting w:name="compatibilityMode" w:uri="http://schemas.microsoft.com/office/word" w:val="12"/>
  </w:compat>
  <w:rsids>
    <w:rsidRoot w:val="0018035D"/>
    <w:rsid w:val="00021FD2"/>
    <w:rsid w:val="0018035D"/>
    <w:rsid w:val="001F35C9"/>
    <w:rsid w:val="004C39F6"/>
    <w:rsid w:val="00664B1C"/>
    <w:rsid w:val="00917F5F"/>
    <w:rsid w:val="00A82D2B"/>
    <w:rsid w:val="00B37A3B"/>
    <w:rsid w:val="00F619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23C71C"/>
  <w15:docId w15:val="{F31A5BCA-166D-44C4-9A61-67DEFA67E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380"/>
      <w:outlineLvl w:val="0"/>
    </w:pPr>
    <w:rPr>
      <w:b/>
      <w:bCs/>
      <w:sz w:val="24"/>
      <w:szCs w:val="24"/>
    </w:rPr>
  </w:style>
  <w:style w:type="paragraph" w:styleId="Heading2">
    <w:name w:val="heading 2"/>
    <w:basedOn w:val="Normal"/>
    <w:uiPriority w:val="1"/>
    <w:qFormat/>
    <w:pPr>
      <w:ind w:left="380"/>
      <w:outlineLvl w:val="1"/>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spacing w:line="244" w:lineRule="exact"/>
      <w:ind w:left="11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21FD2"/>
    <w:pPr>
      <w:tabs>
        <w:tab w:val="center" w:pos="4680"/>
        <w:tab w:val="right" w:pos="9360"/>
      </w:tabs>
    </w:pPr>
  </w:style>
  <w:style w:type="character" w:customStyle="1" w:styleId="HeaderChar">
    <w:name w:val="Header Char"/>
    <w:basedOn w:val="DefaultParagraphFont"/>
    <w:link w:val="Header"/>
    <w:uiPriority w:val="99"/>
    <w:rsid w:val="00021FD2"/>
    <w:rPr>
      <w:rFonts w:ascii="Arial" w:eastAsia="Arial" w:hAnsi="Arial" w:cs="Arial"/>
    </w:rPr>
  </w:style>
  <w:style w:type="paragraph" w:styleId="Footer">
    <w:name w:val="footer"/>
    <w:basedOn w:val="Normal"/>
    <w:link w:val="FooterChar"/>
    <w:uiPriority w:val="99"/>
    <w:unhideWhenUsed/>
    <w:rsid w:val="00021FD2"/>
    <w:pPr>
      <w:tabs>
        <w:tab w:val="center" w:pos="4680"/>
        <w:tab w:val="right" w:pos="9360"/>
      </w:tabs>
    </w:pPr>
  </w:style>
  <w:style w:type="character" w:customStyle="1" w:styleId="FooterChar">
    <w:name w:val="Footer Char"/>
    <w:basedOn w:val="DefaultParagraphFont"/>
    <w:link w:val="Footer"/>
    <w:uiPriority w:val="99"/>
    <w:rsid w:val="00021FD2"/>
    <w:rPr>
      <w:rFonts w:ascii="Arial" w:eastAsia="Arial" w:hAnsi="Arial" w:cs="Arial"/>
    </w:rPr>
  </w:style>
  <w:style w:type="character" w:styleId="CommentReference">
    <w:name w:val="annotation reference"/>
    <w:basedOn w:val="DefaultParagraphFont"/>
    <w:uiPriority w:val="99"/>
    <w:semiHidden/>
    <w:unhideWhenUsed/>
    <w:rsid w:val="001F35C9"/>
    <w:rPr>
      <w:sz w:val="16"/>
      <w:szCs w:val="16"/>
    </w:rPr>
  </w:style>
  <w:style w:type="paragraph" w:styleId="CommentText">
    <w:name w:val="annotation text"/>
    <w:basedOn w:val="Normal"/>
    <w:link w:val="CommentTextChar"/>
    <w:uiPriority w:val="99"/>
    <w:semiHidden/>
    <w:unhideWhenUsed/>
    <w:rsid w:val="001F35C9"/>
    <w:rPr>
      <w:sz w:val="20"/>
      <w:szCs w:val="20"/>
    </w:rPr>
  </w:style>
  <w:style w:type="character" w:customStyle="1" w:styleId="CommentTextChar">
    <w:name w:val="Comment Text Char"/>
    <w:basedOn w:val="DefaultParagraphFont"/>
    <w:link w:val="CommentText"/>
    <w:uiPriority w:val="99"/>
    <w:semiHidden/>
    <w:rsid w:val="001F35C9"/>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1F35C9"/>
    <w:rPr>
      <w:b/>
      <w:bCs/>
    </w:rPr>
  </w:style>
  <w:style w:type="character" w:customStyle="1" w:styleId="CommentSubjectChar">
    <w:name w:val="Comment Subject Char"/>
    <w:basedOn w:val="CommentTextChar"/>
    <w:link w:val="CommentSubject"/>
    <w:uiPriority w:val="99"/>
    <w:semiHidden/>
    <w:rsid w:val="001F35C9"/>
    <w:rPr>
      <w:rFonts w:ascii="Arial" w:eastAsia="Arial" w:hAnsi="Arial" w:cs="Arial"/>
      <w:b/>
      <w:bCs/>
      <w:sz w:val="20"/>
      <w:szCs w:val="20"/>
    </w:rPr>
  </w:style>
  <w:style w:type="paragraph" w:styleId="BalloonText">
    <w:name w:val="Balloon Text"/>
    <w:basedOn w:val="Normal"/>
    <w:link w:val="BalloonTextChar"/>
    <w:uiPriority w:val="99"/>
    <w:semiHidden/>
    <w:unhideWhenUsed/>
    <w:rsid w:val="001F35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5C9"/>
    <w:rPr>
      <w:rFonts w:ascii="Segoe UI" w:eastAsia="Arial" w:hAnsi="Segoe UI" w:cs="Segoe UI"/>
      <w:sz w:val="18"/>
      <w:szCs w:val="18"/>
    </w:rPr>
  </w:style>
  <w:style w:type="character" w:styleId="Hyperlink">
    <w:name w:val="Hyperlink"/>
    <w:basedOn w:val="DefaultParagraphFont"/>
    <w:uiPriority w:val="99"/>
    <w:unhideWhenUsed/>
    <w:rsid w:val="00664B1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osp.od.nih.gov/sites/default/files/NIH_Guidelines.html" TargetMode="External"/><Relationship Id="rId3" Type="http://schemas.openxmlformats.org/officeDocument/2006/relationships/settings" Target="settings.xml"/><Relationship Id="rId7" Type="http://schemas.openxmlformats.org/officeDocument/2006/relationships/hyperlink" Target="https://www.osha.gov/pls/oshaweb/owadisp.show_document?p_table=standards&amp;amp;p_id=10051" TargetMode="External"/><Relationship Id="rId12" Type="http://schemas.openxmlformats.org/officeDocument/2006/relationships/hyperlink" Target="mailto:biosafety@unt.edu" TargetMode="External"/><Relationship Id="rId17" Type="http://schemas.openxmlformats.org/officeDocument/2006/relationships/theme" Target="theme/theme1.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osp.od.nih.gov/sites/default/files/NIH_Guidelin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961</Words>
  <Characters>5480</Characters>
  <Application>Microsoft Office Word</Application>
  <DocSecurity>0</DocSecurity>
  <Lines>45</Lines>
  <Paragraphs>12</Paragraphs>
  <ScaleCrop>false</ScaleCrop>
  <Company>University of North Texas System</Company>
  <LinksUpToDate>false</LinksUpToDate>
  <CharactersWithSpaces>6429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Gillum</dc:creator>
  <cp:lastModifiedBy>Shoff, Megan</cp:lastModifiedBy>
  <cp:revision>8</cp:revision>
  <dcterms:created xsi:type="dcterms:W3CDTF">2018-07-23T16:24:00Z</dcterms:created>
  <dcterms:modified xsi:type="dcterms:W3CDTF">2018-09-12T20:28:00Z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2016-12-30T00:00:00Z</vt:filetime>
  </property>
  <property fmtid="{D5CDD505-2E9C-101B-9397-08002B2CF9AE}" pid="3" name="Creator">
    <vt:lpwstr>Microsoft® Word 2013</vt:lpwstr>
  </property>
  <property fmtid="{D5CDD505-2E9C-101B-9397-08002B2CF9AE}" pid="4" name="LastSaved">
    <vt:filetime>2018-07-23T00:00:00Z</vt:filetime>
  </property>
</Properties>
</file>